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B46B97">
      <w:pPr>
        <w:pStyle w:val="253"/>
        <w:ind w:firstLine="0"/>
        <w:jc w:val="center"/>
        <w:rPr>
          <w:rFonts w:ascii="仿宋" w:hAnsi="仿宋" w:eastAsia="仿宋" w:cs="仿宋"/>
          <w:b/>
          <w:bCs/>
          <w:color w:val="auto"/>
          <w:sz w:val="60"/>
          <w:szCs w:val="22"/>
          <w:highlight w:val="none"/>
        </w:rPr>
      </w:pPr>
    </w:p>
    <w:p w14:paraId="476A8FFA">
      <w:pPr>
        <w:pStyle w:val="253"/>
        <w:ind w:firstLine="0"/>
        <w:jc w:val="center"/>
        <w:rPr>
          <w:rFonts w:ascii="仿宋" w:hAnsi="仿宋" w:eastAsia="仿宋" w:cs="仿宋"/>
          <w:b/>
          <w:bCs/>
          <w:color w:val="auto"/>
          <w:sz w:val="84"/>
          <w:highlight w:val="none"/>
        </w:rPr>
      </w:pPr>
      <w:r>
        <w:rPr>
          <w:rFonts w:hint="eastAsia" w:ascii="仿宋" w:hAnsi="仿宋" w:eastAsia="仿宋" w:cs="仿宋"/>
          <w:b/>
          <w:bCs/>
          <w:color w:val="auto"/>
          <w:sz w:val="96"/>
          <w:szCs w:val="28"/>
          <w:highlight w:val="none"/>
        </w:rPr>
        <w:t>招　标　文　件</w:t>
      </w:r>
    </w:p>
    <w:p w14:paraId="269B73C6">
      <w:pPr>
        <w:pStyle w:val="253"/>
        <w:ind w:firstLine="0"/>
        <w:jc w:val="center"/>
        <w:rPr>
          <w:rFonts w:ascii="仿宋" w:hAnsi="仿宋" w:eastAsia="仿宋" w:cs="仿宋"/>
          <w:b/>
          <w:bCs/>
          <w:color w:val="auto"/>
          <w:sz w:val="52"/>
          <w:szCs w:val="20"/>
          <w:highlight w:val="none"/>
        </w:rPr>
      </w:pPr>
      <w:r>
        <w:rPr>
          <w:rFonts w:hint="eastAsia" w:ascii="仿宋" w:hAnsi="仿宋" w:eastAsia="仿宋" w:cs="仿宋"/>
          <w:b/>
          <w:bCs/>
          <w:color w:val="auto"/>
          <w:sz w:val="52"/>
          <w:szCs w:val="20"/>
          <w:highlight w:val="none"/>
        </w:rPr>
        <w:t>（服务类）</w:t>
      </w:r>
    </w:p>
    <w:p w14:paraId="022A152F">
      <w:pPr>
        <w:pStyle w:val="253"/>
        <w:ind w:firstLine="1606"/>
        <w:rPr>
          <w:rFonts w:ascii="仿宋" w:hAnsi="仿宋" w:eastAsia="仿宋" w:cs="仿宋"/>
          <w:b/>
          <w:bCs/>
          <w:color w:val="auto"/>
          <w:sz w:val="32"/>
          <w:highlight w:val="none"/>
        </w:rPr>
      </w:pPr>
    </w:p>
    <w:p w14:paraId="35E3ADDE">
      <w:pPr>
        <w:pStyle w:val="253"/>
        <w:ind w:firstLine="1606"/>
        <w:rPr>
          <w:rFonts w:ascii="仿宋" w:hAnsi="仿宋" w:eastAsia="仿宋" w:cs="仿宋"/>
          <w:b/>
          <w:bCs/>
          <w:color w:val="auto"/>
          <w:sz w:val="32"/>
          <w:highlight w:val="none"/>
        </w:rPr>
      </w:pPr>
    </w:p>
    <w:p w14:paraId="1700098E">
      <w:pPr>
        <w:pStyle w:val="253"/>
        <w:ind w:firstLine="1606"/>
        <w:rPr>
          <w:rFonts w:ascii="仿宋" w:hAnsi="仿宋" w:eastAsia="仿宋" w:cs="仿宋"/>
          <w:b/>
          <w:bCs/>
          <w:color w:val="auto"/>
          <w:sz w:val="32"/>
          <w:highlight w:val="none"/>
        </w:rPr>
      </w:pPr>
    </w:p>
    <w:p w14:paraId="63D44037">
      <w:pPr>
        <w:pStyle w:val="253"/>
        <w:ind w:left="1807" w:leftChars="0" w:hanging="1807" w:hangingChars="500"/>
        <w:jc w:val="left"/>
        <w:rPr>
          <w:rFonts w:hint="eastAsia" w:ascii="仿宋" w:hAnsi="仿宋" w:eastAsia="仿宋" w:cs="仿宋"/>
          <w:b/>
          <w:bCs/>
          <w:color w:val="auto"/>
          <w:sz w:val="36"/>
          <w:szCs w:val="28"/>
          <w:highlight w:val="none"/>
          <w:lang w:eastAsia="zh-CN"/>
        </w:rPr>
      </w:pPr>
      <w:bookmarkStart w:id="0" w:name="_Toc21520"/>
      <w:bookmarkStart w:id="1" w:name="_Toc5939"/>
      <w:r>
        <w:rPr>
          <w:rFonts w:hint="eastAsia" w:ascii="仿宋" w:hAnsi="仿宋" w:eastAsia="仿宋" w:cs="仿宋"/>
          <w:b/>
          <w:bCs/>
          <w:color w:val="auto"/>
          <w:sz w:val="36"/>
          <w:szCs w:val="28"/>
          <w:highlight w:val="none"/>
        </w:rPr>
        <w:t>项目名称：</w:t>
      </w:r>
      <w:bookmarkEnd w:id="0"/>
      <w:bookmarkEnd w:id="1"/>
      <w:bookmarkStart w:id="2" w:name="_Toc19122"/>
      <w:bookmarkStart w:id="3" w:name="_Toc31166"/>
      <w:r>
        <w:rPr>
          <w:rFonts w:hint="eastAsia" w:ascii="仿宋" w:hAnsi="仿宋" w:eastAsia="仿宋" w:cs="仿宋"/>
          <w:b/>
          <w:bCs/>
          <w:color w:val="auto"/>
          <w:sz w:val="36"/>
          <w:szCs w:val="28"/>
          <w:highlight w:val="none"/>
          <w:lang w:eastAsia="zh-CN"/>
        </w:rPr>
        <w:t>高速公路交通情况统计调查、路网运行监测与管控辅助服务</w:t>
      </w:r>
    </w:p>
    <w:p w14:paraId="1E387440">
      <w:pPr>
        <w:pStyle w:val="253"/>
        <w:ind w:left="0" w:leftChars="0" w:firstLine="0" w:firstLineChars="0"/>
        <w:jc w:val="both"/>
        <w:rPr>
          <w:rFonts w:hint="eastAsia" w:ascii="仿宋" w:hAnsi="仿宋" w:eastAsia="仿宋" w:cs="仿宋"/>
          <w:b/>
          <w:bCs/>
          <w:color w:val="auto"/>
          <w:sz w:val="36"/>
          <w:szCs w:val="28"/>
          <w:highlight w:val="none"/>
          <w:lang w:eastAsia="zh-CN"/>
        </w:rPr>
      </w:pPr>
      <w:r>
        <w:rPr>
          <w:rFonts w:hint="eastAsia" w:ascii="仿宋" w:hAnsi="仿宋" w:eastAsia="仿宋" w:cs="仿宋"/>
          <w:b/>
          <w:bCs/>
          <w:color w:val="auto"/>
          <w:sz w:val="36"/>
          <w:szCs w:val="28"/>
          <w:highlight w:val="none"/>
          <w:lang w:eastAsia="zh-CN"/>
        </w:rPr>
        <w:t>项目编号：JSZC-320000-JSQC-G2026-0027</w:t>
      </w:r>
    </w:p>
    <w:p w14:paraId="5697E58F">
      <w:pPr>
        <w:pStyle w:val="253"/>
        <w:ind w:left="0" w:leftChars="0" w:firstLine="0" w:firstLineChars="0"/>
        <w:jc w:val="both"/>
        <w:rPr>
          <w:rFonts w:hint="default" w:ascii="仿宋" w:hAnsi="仿宋" w:eastAsia="仿宋" w:cs="仿宋"/>
          <w:b/>
          <w:bCs/>
          <w:color w:val="auto"/>
          <w:sz w:val="36"/>
          <w:szCs w:val="28"/>
          <w:highlight w:val="none"/>
          <w:lang w:val="en-US" w:eastAsia="zh-CN"/>
        </w:rPr>
      </w:pPr>
      <w:r>
        <w:rPr>
          <w:rFonts w:hint="eastAsia" w:ascii="仿宋" w:hAnsi="仿宋" w:eastAsia="仿宋" w:cs="仿宋"/>
          <w:b/>
          <w:bCs/>
          <w:color w:val="auto"/>
          <w:sz w:val="36"/>
          <w:szCs w:val="28"/>
          <w:highlight w:val="none"/>
          <w:lang w:eastAsia="zh-CN"/>
        </w:rPr>
        <w:t>柒采内部</w:t>
      </w:r>
      <w:r>
        <w:rPr>
          <w:rFonts w:hint="eastAsia" w:ascii="仿宋" w:hAnsi="仿宋" w:eastAsia="仿宋" w:cs="仿宋"/>
          <w:b/>
          <w:bCs/>
          <w:color w:val="auto"/>
          <w:sz w:val="36"/>
          <w:szCs w:val="28"/>
          <w:highlight w:val="none"/>
        </w:rPr>
        <w:t>编号：</w:t>
      </w:r>
      <w:bookmarkEnd w:id="2"/>
      <w:bookmarkEnd w:id="3"/>
      <w:r>
        <w:rPr>
          <w:rFonts w:hint="eastAsia" w:ascii="仿宋" w:hAnsi="仿宋" w:eastAsia="仿宋" w:cs="仿宋"/>
          <w:b/>
          <w:bCs/>
          <w:color w:val="auto"/>
          <w:sz w:val="36"/>
          <w:szCs w:val="28"/>
          <w:highlight w:val="none"/>
          <w:lang w:val="en-US" w:eastAsia="zh-CN"/>
        </w:rPr>
        <w:t>QC-2026060418G</w:t>
      </w:r>
    </w:p>
    <w:p w14:paraId="71C756F1">
      <w:pPr>
        <w:ind w:left="2100" w:hanging="2100"/>
        <w:rPr>
          <w:rFonts w:ascii="仿宋" w:hAnsi="仿宋" w:eastAsia="仿宋" w:cs="仿宋"/>
          <w:b/>
          <w:color w:val="auto"/>
          <w:sz w:val="30"/>
          <w:szCs w:val="30"/>
          <w:highlight w:val="none"/>
        </w:rPr>
      </w:pPr>
      <w:r>
        <w:rPr>
          <w:rFonts w:hint="eastAsia" w:ascii="仿宋" w:hAnsi="仿宋" w:eastAsia="仿宋" w:cs="仿宋"/>
          <w:color w:val="auto"/>
          <w:highlight w:val="none"/>
        </w:rPr>
        <w:t xml:space="preserve">           </w:t>
      </w:r>
      <w:r>
        <w:rPr>
          <w:rFonts w:hint="eastAsia" w:ascii="仿宋" w:hAnsi="仿宋" w:eastAsia="仿宋" w:cs="仿宋"/>
          <w:b/>
          <w:color w:val="auto"/>
          <w:sz w:val="30"/>
          <w:szCs w:val="30"/>
          <w:highlight w:val="none"/>
        </w:rPr>
        <w:t xml:space="preserve">   </w:t>
      </w:r>
      <w:r>
        <w:rPr>
          <w:rFonts w:hint="eastAsia" w:ascii="仿宋" w:hAnsi="仿宋" w:eastAsia="仿宋" w:cs="仿宋"/>
          <w:color w:val="auto"/>
          <w:highlight w:val="none"/>
        </w:rPr>
        <w:t xml:space="preserve">  </w:t>
      </w:r>
      <w:r>
        <w:rPr>
          <w:rFonts w:hint="eastAsia" w:ascii="仿宋" w:hAnsi="仿宋" w:eastAsia="仿宋" w:cs="仿宋"/>
          <w:b/>
          <w:color w:val="auto"/>
          <w:sz w:val="30"/>
          <w:szCs w:val="30"/>
          <w:highlight w:val="none"/>
        </w:rPr>
        <w:t xml:space="preserve"> </w:t>
      </w:r>
    </w:p>
    <w:p w14:paraId="7CCD1ACC">
      <w:pPr>
        <w:pStyle w:val="253"/>
        <w:spacing w:before="0" w:after="0"/>
        <w:ind w:firstLine="0"/>
        <w:rPr>
          <w:rFonts w:ascii="仿宋" w:hAnsi="仿宋" w:eastAsia="仿宋" w:cs="仿宋"/>
          <w:color w:val="auto"/>
          <w:highlight w:val="none"/>
        </w:rPr>
      </w:pPr>
    </w:p>
    <w:p w14:paraId="59263216">
      <w:pPr>
        <w:pStyle w:val="253"/>
        <w:spacing w:before="0" w:after="0"/>
        <w:ind w:firstLine="0"/>
        <w:rPr>
          <w:rFonts w:ascii="仿宋" w:hAnsi="仿宋" w:eastAsia="仿宋" w:cs="仿宋"/>
          <w:color w:val="auto"/>
          <w:highlight w:val="none"/>
        </w:rPr>
      </w:pPr>
    </w:p>
    <w:p w14:paraId="108B776B">
      <w:pPr>
        <w:pStyle w:val="253"/>
        <w:spacing w:before="0" w:after="0"/>
        <w:ind w:firstLine="0"/>
        <w:rPr>
          <w:rFonts w:ascii="仿宋" w:hAnsi="仿宋" w:eastAsia="仿宋" w:cs="仿宋"/>
          <w:color w:val="auto"/>
          <w:highlight w:val="none"/>
        </w:rPr>
      </w:pPr>
    </w:p>
    <w:p w14:paraId="7D307640">
      <w:pPr>
        <w:pStyle w:val="253"/>
        <w:ind w:firstLine="0"/>
        <w:jc w:val="center"/>
        <w:rPr>
          <w:rFonts w:ascii="仿宋" w:hAnsi="仿宋" w:eastAsia="仿宋" w:cs="仿宋"/>
          <w:b/>
          <w:bCs/>
          <w:color w:val="auto"/>
          <w:sz w:val="32"/>
          <w:highlight w:val="none"/>
        </w:rPr>
      </w:pPr>
      <w:bookmarkStart w:id="4" w:name="_Toc5072"/>
      <w:bookmarkStart w:id="5" w:name="_Toc1928"/>
      <w:r>
        <w:rPr>
          <w:rFonts w:hint="eastAsia" w:ascii="仿宋" w:hAnsi="仿宋" w:eastAsia="仿宋" w:cs="仿宋"/>
          <w:b/>
          <w:bCs/>
          <w:color w:val="auto"/>
          <w:sz w:val="32"/>
          <w:highlight w:val="none"/>
        </w:rPr>
        <w:t>采购人名称：</w:t>
      </w:r>
      <w:bookmarkEnd w:id="4"/>
      <w:r>
        <w:rPr>
          <w:rFonts w:hint="eastAsia" w:ascii="仿宋" w:hAnsi="仿宋" w:eastAsia="仿宋" w:cs="仿宋"/>
          <w:b/>
          <w:bCs/>
          <w:color w:val="auto"/>
          <w:sz w:val="32"/>
          <w:highlight w:val="none"/>
        </w:rPr>
        <w:t>江苏省交通运输综合行政执法监督局</w:t>
      </w:r>
    </w:p>
    <w:p w14:paraId="6585A871">
      <w:pPr>
        <w:pStyle w:val="253"/>
        <w:ind w:firstLine="1063"/>
        <w:jc w:val="both"/>
        <w:rPr>
          <w:rFonts w:ascii="仿宋" w:hAnsi="仿宋" w:eastAsia="仿宋" w:cs="仿宋"/>
          <w:b/>
          <w:bCs/>
          <w:color w:val="auto"/>
          <w:sz w:val="32"/>
          <w:highlight w:val="none"/>
        </w:rPr>
      </w:pPr>
      <w:r>
        <w:rPr>
          <w:rFonts w:hint="eastAsia" w:ascii="仿宋" w:hAnsi="仿宋" w:eastAsia="仿宋" w:cs="仿宋"/>
          <w:b/>
          <w:bCs/>
          <w:color w:val="auto"/>
          <w:sz w:val="32"/>
          <w:highlight w:val="none"/>
        </w:rPr>
        <w:t>采购代理机构：江苏柒采招标代理有限公司</w:t>
      </w:r>
      <w:bookmarkEnd w:id="5"/>
    </w:p>
    <w:p w14:paraId="3BB850CA">
      <w:pPr>
        <w:pStyle w:val="253"/>
        <w:ind w:firstLine="0"/>
        <w:jc w:val="center"/>
        <w:rPr>
          <w:rFonts w:hint="eastAsia" w:ascii="仿宋" w:hAnsi="仿宋" w:eastAsia="仿宋" w:cs="仿宋"/>
          <w:b/>
          <w:bCs/>
          <w:color w:val="auto"/>
          <w:sz w:val="32"/>
          <w:highlight w:val="none"/>
        </w:rPr>
      </w:pPr>
      <w:r>
        <w:rPr>
          <w:rFonts w:hint="eastAsia" w:ascii="仿宋" w:hAnsi="仿宋" w:eastAsia="仿宋" w:cs="仿宋"/>
          <w:b/>
          <w:bCs/>
          <w:color w:val="auto"/>
          <w:sz w:val="32"/>
          <w:highlight w:val="none"/>
        </w:rPr>
        <w:t>202</w:t>
      </w:r>
      <w:r>
        <w:rPr>
          <w:rFonts w:hint="eastAsia" w:ascii="仿宋" w:hAnsi="仿宋" w:eastAsia="仿宋" w:cs="仿宋"/>
          <w:b/>
          <w:bCs/>
          <w:color w:val="auto"/>
          <w:sz w:val="32"/>
          <w:highlight w:val="none"/>
          <w:lang w:val="en-US" w:eastAsia="zh-CN"/>
        </w:rPr>
        <w:t>6</w:t>
      </w:r>
      <w:r>
        <w:rPr>
          <w:rFonts w:hint="eastAsia" w:ascii="仿宋" w:hAnsi="仿宋" w:eastAsia="仿宋" w:cs="仿宋"/>
          <w:b/>
          <w:bCs/>
          <w:color w:val="auto"/>
          <w:sz w:val="32"/>
          <w:highlight w:val="none"/>
        </w:rPr>
        <w:t>年</w:t>
      </w:r>
      <w:r>
        <w:rPr>
          <w:rFonts w:hint="eastAsia" w:ascii="仿宋" w:hAnsi="仿宋" w:eastAsia="仿宋" w:cs="仿宋"/>
          <w:b/>
          <w:bCs/>
          <w:color w:val="auto"/>
          <w:sz w:val="32"/>
          <w:highlight w:val="none"/>
          <w:lang w:val="en-US" w:eastAsia="zh-CN"/>
        </w:rPr>
        <w:t>07</w:t>
      </w:r>
      <w:r>
        <w:rPr>
          <w:rFonts w:hint="eastAsia" w:ascii="仿宋" w:hAnsi="仿宋" w:eastAsia="仿宋" w:cs="仿宋"/>
          <w:b/>
          <w:bCs/>
          <w:color w:val="auto"/>
          <w:sz w:val="32"/>
          <w:highlight w:val="none"/>
        </w:rPr>
        <w:t>月</w:t>
      </w:r>
    </w:p>
    <w:p w14:paraId="480DA89A">
      <w:pPr>
        <w:pStyle w:val="253"/>
        <w:ind w:firstLine="0"/>
        <w:jc w:val="center"/>
        <w:rPr>
          <w:rFonts w:hint="eastAsia" w:ascii="仿宋" w:hAnsi="仿宋" w:eastAsia="仿宋" w:cs="仿宋"/>
          <w:b/>
          <w:bCs/>
          <w:color w:val="auto"/>
          <w:sz w:val="32"/>
          <w:highlight w:val="none"/>
        </w:rPr>
      </w:pPr>
    </w:p>
    <w:p w14:paraId="6488652D">
      <w:pPr>
        <w:pStyle w:val="253"/>
        <w:spacing w:before="60" w:after="60" w:line="480" w:lineRule="exact"/>
        <w:ind w:firstLine="0"/>
        <w:jc w:val="center"/>
        <w:rPr>
          <w:rFonts w:ascii="仿宋" w:hAnsi="仿宋" w:eastAsia="仿宋" w:cs="仿宋"/>
          <w:b/>
          <w:color w:val="auto"/>
          <w:sz w:val="44"/>
          <w:highlight w:val="none"/>
        </w:rPr>
      </w:pPr>
      <w:bookmarkStart w:id="6" w:name="_Toc18309"/>
      <w:bookmarkStart w:id="7" w:name="_Toc28121"/>
      <w:bookmarkStart w:id="8" w:name="_Toc24790"/>
      <w:bookmarkStart w:id="9" w:name="_Toc18348"/>
      <w:bookmarkStart w:id="10" w:name="_Toc20173"/>
      <w:bookmarkStart w:id="11" w:name="_Toc9350"/>
      <w:bookmarkStart w:id="12" w:name="_Toc28368"/>
      <w:bookmarkStart w:id="13" w:name="_Toc120614210"/>
      <w:bookmarkStart w:id="14" w:name="_Toc523127445"/>
      <w:bookmarkStart w:id="15" w:name="_Toc513029200"/>
      <w:bookmarkStart w:id="16" w:name="_Toc16938516"/>
      <w:bookmarkStart w:id="17" w:name="_Toc479757206"/>
      <w:bookmarkStart w:id="18" w:name="_Toc20823272"/>
      <w:r>
        <w:rPr>
          <w:rFonts w:hint="eastAsia" w:ascii="仿宋" w:hAnsi="仿宋" w:eastAsia="仿宋" w:cs="仿宋"/>
          <w:b/>
          <w:color w:val="auto"/>
          <w:sz w:val="44"/>
          <w:highlight w:val="none"/>
        </w:rPr>
        <w:t>目  录</w:t>
      </w:r>
      <w:bookmarkEnd w:id="6"/>
      <w:bookmarkEnd w:id="7"/>
      <w:bookmarkEnd w:id="8"/>
      <w:bookmarkEnd w:id="9"/>
      <w:bookmarkEnd w:id="10"/>
      <w:bookmarkEnd w:id="11"/>
      <w:bookmarkEnd w:id="12"/>
    </w:p>
    <w:p w14:paraId="2F4714F6">
      <w:pPr>
        <w:pStyle w:val="24"/>
        <w:tabs>
          <w:tab w:val="right" w:leader="dot" w:pos="9746"/>
        </w:tabs>
        <w:rPr>
          <w:color w:val="auto"/>
          <w:sz w:val="32"/>
          <w:szCs w:val="32"/>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TOC \o "1-2" \h \u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\l _Toc4413 </w:instrText>
      </w:r>
      <w:r>
        <w:rPr>
          <w:rFonts w:hint="eastAsia" w:ascii="仿宋" w:hAnsi="仿宋" w:eastAsia="仿宋" w:cs="仿宋"/>
          <w:color w:val="auto"/>
          <w:sz w:val="32"/>
          <w:szCs w:val="32"/>
          <w:highlight w:val="none"/>
        </w:rPr>
        <w:fldChar w:fldCharType="separate"/>
      </w:r>
      <w:r>
        <w:rPr>
          <w:rFonts w:hint="eastAsia" w:ascii="仿宋" w:hAnsi="仿宋" w:eastAsia="仿宋" w:cs="仿宋"/>
          <w:bCs/>
          <w:color w:val="auto"/>
          <w:sz w:val="32"/>
          <w:szCs w:val="32"/>
          <w:highlight w:val="none"/>
        </w:rPr>
        <w:t>第一章  投标邀请</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_Toc4413 \h </w:instrText>
      </w:r>
      <w:r>
        <w:rPr>
          <w:color w:val="auto"/>
          <w:sz w:val="32"/>
          <w:szCs w:val="32"/>
          <w:highlight w:val="none"/>
        </w:rPr>
        <w:fldChar w:fldCharType="separate"/>
      </w:r>
      <w:r>
        <w:rPr>
          <w:color w:val="auto"/>
          <w:sz w:val="32"/>
          <w:szCs w:val="32"/>
          <w:highlight w:val="none"/>
        </w:rPr>
        <w:t>1</w:t>
      </w:r>
      <w:r>
        <w:rPr>
          <w:color w:val="auto"/>
          <w:sz w:val="32"/>
          <w:szCs w:val="32"/>
          <w:highlight w:val="none"/>
        </w:rPr>
        <w:fldChar w:fldCharType="end"/>
      </w:r>
      <w:r>
        <w:rPr>
          <w:rFonts w:hint="eastAsia" w:ascii="仿宋" w:hAnsi="仿宋" w:eastAsia="仿宋" w:cs="仿宋"/>
          <w:color w:val="auto"/>
          <w:sz w:val="32"/>
          <w:szCs w:val="32"/>
          <w:highlight w:val="none"/>
        </w:rPr>
        <w:fldChar w:fldCharType="end"/>
      </w:r>
    </w:p>
    <w:p w14:paraId="422451E8">
      <w:pPr>
        <w:pStyle w:val="24"/>
        <w:tabs>
          <w:tab w:val="right" w:leader="dot" w:pos="9746"/>
        </w:tabs>
        <w:rPr>
          <w:color w:val="auto"/>
          <w:sz w:val="32"/>
          <w:szCs w:val="32"/>
          <w:highlight w:val="none"/>
        </w:rPr>
      </w:pP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\l _Toc3617 </w:instrText>
      </w:r>
      <w:r>
        <w:rPr>
          <w:rFonts w:hint="eastAsia" w:ascii="仿宋" w:hAnsi="仿宋" w:eastAsia="仿宋" w:cs="仿宋"/>
          <w:color w:val="auto"/>
          <w:sz w:val="32"/>
          <w:szCs w:val="32"/>
          <w:highlight w:val="none"/>
        </w:rPr>
        <w:fldChar w:fldCharType="separate"/>
      </w:r>
      <w:r>
        <w:rPr>
          <w:rFonts w:hint="eastAsia" w:ascii="仿宋" w:hAnsi="仿宋" w:eastAsia="仿宋" w:cs="仿宋"/>
          <w:bCs/>
          <w:color w:val="auto"/>
          <w:sz w:val="32"/>
          <w:szCs w:val="32"/>
          <w:highlight w:val="none"/>
        </w:rPr>
        <w:t>第二章  投标人须知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_Toc3617 \h </w:instrText>
      </w:r>
      <w:r>
        <w:rPr>
          <w:color w:val="auto"/>
          <w:sz w:val="32"/>
          <w:szCs w:val="32"/>
          <w:highlight w:val="none"/>
        </w:rPr>
        <w:fldChar w:fldCharType="separate"/>
      </w:r>
      <w:r>
        <w:rPr>
          <w:color w:val="auto"/>
          <w:sz w:val="32"/>
          <w:szCs w:val="32"/>
          <w:highlight w:val="none"/>
        </w:rPr>
        <w:t>6</w:t>
      </w:r>
      <w:r>
        <w:rPr>
          <w:color w:val="auto"/>
          <w:sz w:val="32"/>
          <w:szCs w:val="32"/>
          <w:highlight w:val="none"/>
        </w:rPr>
        <w:fldChar w:fldCharType="end"/>
      </w:r>
      <w:r>
        <w:rPr>
          <w:rFonts w:hint="eastAsia" w:ascii="仿宋" w:hAnsi="仿宋" w:eastAsia="仿宋" w:cs="仿宋"/>
          <w:color w:val="auto"/>
          <w:sz w:val="32"/>
          <w:szCs w:val="32"/>
          <w:highlight w:val="none"/>
        </w:rPr>
        <w:fldChar w:fldCharType="end"/>
      </w:r>
    </w:p>
    <w:p w14:paraId="4C2F5C51">
      <w:pPr>
        <w:pStyle w:val="24"/>
        <w:tabs>
          <w:tab w:val="right" w:leader="dot" w:pos="9746"/>
        </w:tabs>
        <w:rPr>
          <w:color w:val="auto"/>
          <w:sz w:val="32"/>
          <w:szCs w:val="32"/>
          <w:highlight w:val="none"/>
        </w:rPr>
      </w:pP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\l _Toc1070 </w:instrText>
      </w:r>
      <w:r>
        <w:rPr>
          <w:rFonts w:hint="eastAsia" w:ascii="仿宋" w:hAnsi="仿宋" w:eastAsia="仿宋" w:cs="仿宋"/>
          <w:color w:val="auto"/>
          <w:sz w:val="32"/>
          <w:szCs w:val="32"/>
          <w:highlight w:val="none"/>
        </w:rPr>
        <w:fldChar w:fldCharType="separate"/>
      </w:r>
      <w:r>
        <w:rPr>
          <w:rFonts w:hint="eastAsia" w:ascii="仿宋" w:hAnsi="仿宋" w:eastAsia="仿宋" w:cs="仿宋"/>
          <w:bCs/>
          <w:color w:val="auto"/>
          <w:sz w:val="32"/>
          <w:szCs w:val="32"/>
          <w:highlight w:val="none"/>
        </w:rPr>
        <w:t>第三章  合同文本（服务）</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_Toc1070 \h </w:instrText>
      </w:r>
      <w:r>
        <w:rPr>
          <w:color w:val="auto"/>
          <w:sz w:val="32"/>
          <w:szCs w:val="32"/>
          <w:highlight w:val="none"/>
        </w:rPr>
        <w:fldChar w:fldCharType="separate"/>
      </w:r>
      <w:r>
        <w:rPr>
          <w:color w:val="auto"/>
          <w:sz w:val="32"/>
          <w:szCs w:val="32"/>
          <w:highlight w:val="none"/>
        </w:rPr>
        <w:t>17</w:t>
      </w:r>
      <w:r>
        <w:rPr>
          <w:color w:val="auto"/>
          <w:sz w:val="32"/>
          <w:szCs w:val="32"/>
          <w:highlight w:val="none"/>
        </w:rPr>
        <w:fldChar w:fldCharType="end"/>
      </w:r>
      <w:r>
        <w:rPr>
          <w:rFonts w:hint="eastAsia" w:ascii="仿宋" w:hAnsi="仿宋" w:eastAsia="仿宋" w:cs="仿宋"/>
          <w:color w:val="auto"/>
          <w:sz w:val="32"/>
          <w:szCs w:val="32"/>
          <w:highlight w:val="none"/>
        </w:rPr>
        <w:fldChar w:fldCharType="end"/>
      </w:r>
    </w:p>
    <w:p w14:paraId="51B7CCBF">
      <w:pPr>
        <w:pStyle w:val="24"/>
        <w:tabs>
          <w:tab w:val="right" w:leader="dot" w:pos="9746"/>
        </w:tabs>
        <w:rPr>
          <w:color w:val="auto"/>
          <w:sz w:val="32"/>
          <w:szCs w:val="32"/>
          <w:highlight w:val="none"/>
        </w:rPr>
      </w:pP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\l _Toc25556 </w:instrText>
      </w:r>
      <w:r>
        <w:rPr>
          <w:rFonts w:hint="eastAsia" w:ascii="仿宋" w:hAnsi="仿宋" w:eastAsia="仿宋" w:cs="仿宋"/>
          <w:color w:val="auto"/>
          <w:sz w:val="32"/>
          <w:szCs w:val="32"/>
          <w:highlight w:val="none"/>
        </w:rPr>
        <w:fldChar w:fldCharType="separate"/>
      </w:r>
      <w:r>
        <w:rPr>
          <w:rFonts w:hint="eastAsia" w:ascii="仿宋" w:hAnsi="仿宋" w:eastAsia="仿宋" w:cs="仿宋"/>
          <w:bCs/>
          <w:color w:val="auto"/>
          <w:sz w:val="32"/>
          <w:szCs w:val="32"/>
          <w:highlight w:val="none"/>
        </w:rPr>
        <w:t>第四章  项目需求</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_Toc25556 \h </w:instrText>
      </w:r>
      <w:r>
        <w:rPr>
          <w:color w:val="auto"/>
          <w:sz w:val="32"/>
          <w:szCs w:val="32"/>
          <w:highlight w:val="none"/>
        </w:rPr>
        <w:fldChar w:fldCharType="separate"/>
      </w:r>
      <w:r>
        <w:rPr>
          <w:color w:val="auto"/>
          <w:sz w:val="32"/>
          <w:szCs w:val="32"/>
          <w:highlight w:val="none"/>
        </w:rPr>
        <w:t>34</w:t>
      </w:r>
      <w:r>
        <w:rPr>
          <w:color w:val="auto"/>
          <w:sz w:val="32"/>
          <w:szCs w:val="32"/>
          <w:highlight w:val="none"/>
        </w:rPr>
        <w:fldChar w:fldCharType="end"/>
      </w:r>
      <w:r>
        <w:rPr>
          <w:rFonts w:hint="eastAsia" w:ascii="仿宋" w:hAnsi="仿宋" w:eastAsia="仿宋" w:cs="仿宋"/>
          <w:color w:val="auto"/>
          <w:sz w:val="32"/>
          <w:szCs w:val="32"/>
          <w:highlight w:val="none"/>
        </w:rPr>
        <w:fldChar w:fldCharType="end"/>
      </w:r>
    </w:p>
    <w:p w14:paraId="230478B1">
      <w:pPr>
        <w:pStyle w:val="24"/>
        <w:tabs>
          <w:tab w:val="right" w:leader="dot" w:pos="9746"/>
        </w:tabs>
        <w:rPr>
          <w:color w:val="auto"/>
          <w:sz w:val="32"/>
          <w:szCs w:val="32"/>
          <w:highlight w:val="none"/>
        </w:rPr>
      </w:pP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\l _Toc21665 </w:instrText>
      </w:r>
      <w:r>
        <w:rPr>
          <w:rFonts w:hint="eastAsia" w:ascii="仿宋" w:hAnsi="仿宋" w:eastAsia="仿宋" w:cs="仿宋"/>
          <w:color w:val="auto"/>
          <w:sz w:val="32"/>
          <w:szCs w:val="32"/>
          <w:highlight w:val="none"/>
        </w:rPr>
        <w:fldChar w:fldCharType="separate"/>
      </w:r>
      <w:r>
        <w:rPr>
          <w:rFonts w:hint="eastAsia" w:ascii="仿宋" w:hAnsi="仿宋" w:eastAsia="仿宋" w:cs="仿宋"/>
          <w:bCs/>
          <w:color w:val="auto"/>
          <w:sz w:val="32"/>
          <w:szCs w:val="32"/>
          <w:highlight w:val="none"/>
        </w:rPr>
        <w:t>第五章  评标方法与评标标准</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_Toc21665 \h </w:instrText>
      </w:r>
      <w:r>
        <w:rPr>
          <w:color w:val="auto"/>
          <w:sz w:val="32"/>
          <w:szCs w:val="32"/>
          <w:highlight w:val="none"/>
        </w:rPr>
        <w:fldChar w:fldCharType="separate"/>
      </w:r>
      <w:r>
        <w:rPr>
          <w:color w:val="auto"/>
          <w:sz w:val="32"/>
          <w:szCs w:val="32"/>
          <w:highlight w:val="none"/>
        </w:rPr>
        <w:t>37</w:t>
      </w:r>
      <w:r>
        <w:rPr>
          <w:color w:val="auto"/>
          <w:sz w:val="32"/>
          <w:szCs w:val="32"/>
          <w:highlight w:val="none"/>
        </w:rPr>
        <w:fldChar w:fldCharType="end"/>
      </w:r>
      <w:r>
        <w:rPr>
          <w:rFonts w:hint="eastAsia" w:ascii="仿宋" w:hAnsi="仿宋" w:eastAsia="仿宋" w:cs="仿宋"/>
          <w:color w:val="auto"/>
          <w:sz w:val="32"/>
          <w:szCs w:val="32"/>
          <w:highlight w:val="none"/>
        </w:rPr>
        <w:fldChar w:fldCharType="end"/>
      </w:r>
    </w:p>
    <w:p w14:paraId="680DA802">
      <w:pPr>
        <w:pStyle w:val="24"/>
        <w:tabs>
          <w:tab w:val="right" w:leader="dot" w:pos="9746"/>
        </w:tabs>
        <w:rPr>
          <w:color w:val="auto"/>
          <w:highlight w:val="none"/>
        </w:rPr>
      </w:pP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\l _Toc25268 </w:instrText>
      </w:r>
      <w:r>
        <w:rPr>
          <w:rFonts w:hint="eastAsia" w:ascii="仿宋" w:hAnsi="仿宋" w:eastAsia="仿宋" w:cs="仿宋"/>
          <w:color w:val="auto"/>
          <w:sz w:val="32"/>
          <w:szCs w:val="32"/>
          <w:highlight w:val="none"/>
        </w:rPr>
        <w:fldChar w:fldCharType="separate"/>
      </w:r>
      <w:r>
        <w:rPr>
          <w:rFonts w:hint="eastAsia" w:ascii="仿宋" w:hAnsi="仿宋" w:eastAsia="仿宋" w:cs="仿宋"/>
          <w:bCs/>
          <w:color w:val="auto"/>
          <w:sz w:val="32"/>
          <w:szCs w:val="32"/>
          <w:highlight w:val="none"/>
        </w:rPr>
        <w:t>第六章  投标文件格式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_Toc25268 \h </w:instrText>
      </w:r>
      <w:r>
        <w:rPr>
          <w:color w:val="auto"/>
          <w:sz w:val="32"/>
          <w:szCs w:val="32"/>
          <w:highlight w:val="none"/>
        </w:rPr>
        <w:fldChar w:fldCharType="separate"/>
      </w:r>
      <w:r>
        <w:rPr>
          <w:color w:val="auto"/>
          <w:sz w:val="32"/>
          <w:szCs w:val="32"/>
          <w:highlight w:val="none"/>
        </w:rPr>
        <w:t>44</w:t>
      </w:r>
      <w:r>
        <w:rPr>
          <w:color w:val="auto"/>
          <w:sz w:val="32"/>
          <w:szCs w:val="32"/>
          <w:highlight w:val="none"/>
        </w:rPr>
        <w:fldChar w:fldCharType="end"/>
      </w:r>
      <w:r>
        <w:rPr>
          <w:rFonts w:hint="eastAsia" w:ascii="仿宋" w:hAnsi="仿宋" w:eastAsia="仿宋" w:cs="仿宋"/>
          <w:color w:val="auto"/>
          <w:sz w:val="32"/>
          <w:szCs w:val="32"/>
          <w:highlight w:val="none"/>
        </w:rPr>
        <w:fldChar w:fldCharType="end"/>
      </w:r>
    </w:p>
    <w:p w14:paraId="2C0ED4AE">
      <w:pPr>
        <w:pStyle w:val="30"/>
        <w:tabs>
          <w:tab w:val="right" w:leader="dot" w:pos="9746"/>
        </w:tabs>
        <w:rPr>
          <w:color w:val="auto"/>
          <w:highlight w:val="none"/>
        </w:rPr>
      </w:pPr>
    </w:p>
    <w:p w14:paraId="47410EEC">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ascii="仿宋" w:hAnsi="仿宋" w:eastAsia="仿宋" w:cs="仿宋"/>
          <w:b/>
          <w:bCs/>
          <w:color w:val="auto"/>
          <w:sz w:val="40"/>
          <w:szCs w:val="40"/>
          <w:highlight w:val="none"/>
        </w:rPr>
        <w:sectPr>
          <w:headerReference r:id="rId4" w:type="first"/>
          <w:footerReference r:id="rId6" w:type="first"/>
          <w:headerReference r:id="rId3" w:type="default"/>
          <w:footerReference r:id="rId5" w:type="default"/>
          <w:pgSz w:w="11906" w:h="16838"/>
          <w:pgMar w:top="1440" w:right="1080" w:bottom="1440" w:left="1080" w:header="851" w:footer="907" w:gutter="0"/>
          <w:cols w:space="720" w:num="1"/>
          <w:titlePg/>
          <w:docGrid w:linePitch="360" w:charSpace="0"/>
        </w:sectPr>
      </w:pPr>
      <w:r>
        <w:rPr>
          <w:rFonts w:hint="eastAsia" w:ascii="仿宋" w:hAnsi="仿宋" w:eastAsia="仿宋" w:cs="仿宋"/>
          <w:color w:val="auto"/>
          <w:szCs w:val="28"/>
          <w:highlight w:val="none"/>
        </w:rPr>
        <w:fldChar w:fldCharType="end"/>
      </w:r>
      <w:bookmarkStart w:id="19" w:name="_Toc10055"/>
    </w:p>
    <w:p w14:paraId="36B178F5">
      <w:pPr>
        <w:pStyle w:val="190"/>
        <w:spacing w:before="156" w:after="156" w:line="530" w:lineRule="exact"/>
        <w:rPr>
          <w:rFonts w:ascii="仿宋" w:hAnsi="仿宋" w:eastAsia="仿宋" w:cs="仿宋"/>
          <w:b/>
          <w:bCs/>
          <w:color w:val="auto"/>
          <w:sz w:val="40"/>
          <w:szCs w:val="40"/>
          <w:highlight w:val="none"/>
        </w:rPr>
      </w:pPr>
      <w:bookmarkStart w:id="20" w:name="_Toc4413"/>
      <w:r>
        <w:rPr>
          <w:rFonts w:hint="eastAsia" w:ascii="仿宋" w:hAnsi="仿宋" w:eastAsia="仿宋" w:cs="仿宋"/>
          <w:b/>
          <w:bCs/>
          <w:color w:val="auto"/>
          <w:sz w:val="40"/>
          <w:szCs w:val="40"/>
          <w:highlight w:val="none"/>
        </w:rPr>
        <w:t xml:space="preserve">第一章  </w:t>
      </w:r>
      <w:bookmarkEnd w:id="13"/>
      <w:r>
        <w:rPr>
          <w:rFonts w:hint="eastAsia" w:ascii="仿宋" w:hAnsi="仿宋" w:eastAsia="仿宋" w:cs="仿宋"/>
          <w:b/>
          <w:bCs/>
          <w:color w:val="auto"/>
          <w:sz w:val="40"/>
          <w:szCs w:val="40"/>
          <w:highlight w:val="none"/>
        </w:rPr>
        <w:t>投标邀请</w:t>
      </w:r>
      <w:bookmarkEnd w:id="19"/>
      <w:bookmarkEnd w:id="20"/>
    </w:p>
    <w:p w14:paraId="110C3D6C">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受</w:t>
      </w:r>
      <w:r>
        <w:rPr>
          <w:rFonts w:hint="eastAsia" w:ascii="仿宋" w:hAnsi="仿宋" w:eastAsia="仿宋" w:cs="仿宋"/>
          <w:b/>
          <w:bCs/>
          <w:color w:val="auto"/>
          <w:sz w:val="24"/>
          <w:szCs w:val="24"/>
          <w:highlight w:val="none"/>
        </w:rPr>
        <w:t>江苏省交通运输综合行政执法监督局</w:t>
      </w:r>
      <w:r>
        <w:rPr>
          <w:rFonts w:hint="eastAsia" w:ascii="仿宋" w:hAnsi="仿宋" w:eastAsia="仿宋" w:cs="仿宋"/>
          <w:color w:val="auto"/>
          <w:sz w:val="24"/>
          <w:szCs w:val="24"/>
          <w:highlight w:val="none"/>
        </w:rPr>
        <w:t>的委托，江苏柒采招标代理有限公司就</w:t>
      </w:r>
      <w:r>
        <w:rPr>
          <w:rFonts w:hint="eastAsia" w:ascii="仿宋" w:hAnsi="仿宋" w:eastAsia="仿宋" w:cs="仿宋"/>
          <w:b/>
          <w:bCs/>
          <w:color w:val="auto"/>
          <w:sz w:val="24"/>
          <w:szCs w:val="24"/>
          <w:highlight w:val="none"/>
          <w:lang w:eastAsia="zh-CN"/>
        </w:rPr>
        <w:t>高速公路交通情况统计调查、路网运行监测与管控辅助服务</w:t>
      </w:r>
      <w:r>
        <w:rPr>
          <w:rFonts w:hint="eastAsia" w:ascii="仿宋" w:hAnsi="仿宋" w:eastAsia="仿宋" w:cs="仿宋"/>
          <w:color w:val="auto"/>
          <w:sz w:val="24"/>
          <w:szCs w:val="24"/>
          <w:highlight w:val="none"/>
        </w:rPr>
        <w:t>（项目编号：</w:t>
      </w:r>
      <w:r>
        <w:rPr>
          <w:rFonts w:hint="eastAsia" w:ascii="仿宋" w:hAnsi="仿宋" w:eastAsia="仿宋" w:cs="仿宋"/>
          <w:color w:val="auto"/>
          <w:sz w:val="24"/>
          <w:szCs w:val="24"/>
          <w:highlight w:val="none"/>
          <w:lang w:eastAsia="zh-CN"/>
        </w:rPr>
        <w:t>JSZC-320000-JSQC-G2026-0027</w:t>
      </w:r>
      <w:r>
        <w:rPr>
          <w:rFonts w:hint="eastAsia" w:ascii="仿宋" w:hAnsi="仿宋" w:eastAsia="仿宋" w:cs="仿宋"/>
          <w:color w:val="auto"/>
          <w:sz w:val="24"/>
          <w:szCs w:val="24"/>
          <w:highlight w:val="none"/>
        </w:rPr>
        <w:t>）项目进行公开招标采购，欢迎符合条件的投标人参加投标。</w:t>
      </w:r>
    </w:p>
    <w:p w14:paraId="7B2AABCB">
      <w:pPr>
        <w:pBdr>
          <w:top w:val="single" w:color="000000" w:sz="4" w:space="1"/>
          <w:left w:val="single" w:color="000000" w:sz="4" w:space="4"/>
          <w:bottom w:val="single" w:color="000000" w:sz="4" w:space="1"/>
          <w:right w:val="single" w:color="000000" w:sz="4" w:space="4"/>
        </w:pBdr>
        <w:spacing w:line="500" w:lineRule="exact"/>
        <w:ind w:firstLine="482"/>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项目概况</w:t>
      </w:r>
    </w:p>
    <w:p w14:paraId="4F56075D">
      <w:pPr>
        <w:pBdr>
          <w:top w:val="single" w:color="000000" w:sz="4" w:space="1"/>
          <w:left w:val="single" w:color="000000" w:sz="4" w:space="4"/>
          <w:bottom w:val="single" w:color="000000" w:sz="4" w:space="1"/>
          <w:right w:val="single" w:color="000000" w:sz="4" w:space="4"/>
        </w:pBdr>
        <w:spacing w:line="500" w:lineRule="exact"/>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高速公路交通情况统计调查、路网运行监测与管控辅助服务的潜在</w:t>
      </w:r>
      <w:r>
        <w:rPr>
          <w:rFonts w:hint="eastAsia" w:ascii="仿宋" w:hAnsi="仿宋" w:eastAsia="仿宋" w:cs="仿宋"/>
          <w:color w:val="auto"/>
          <w:sz w:val="24"/>
          <w:szCs w:val="24"/>
          <w:highlight w:val="none"/>
          <w:lang w:val="en-US" w:eastAsia="zh-CN"/>
        </w:rPr>
        <w:t>投标人</w:t>
      </w:r>
      <w:r>
        <w:rPr>
          <w:rFonts w:hint="eastAsia" w:ascii="仿宋" w:hAnsi="仿宋" w:eastAsia="仿宋" w:cs="仿宋"/>
          <w:color w:val="auto"/>
          <w:sz w:val="24"/>
          <w:szCs w:val="24"/>
          <w:highlight w:val="none"/>
          <w:lang w:eastAsia="zh-CN"/>
        </w:rPr>
        <w:t>应在江苏政府采购网“苏采云”系统</w:t>
      </w:r>
      <w:bookmarkStart w:id="21" w:name="OLE_LINK180"/>
      <w:bookmarkStart w:id="22" w:name="OLE_LINK178"/>
      <w:r>
        <w:rPr>
          <w:rFonts w:hint="eastAsia" w:ascii="仿宋" w:hAnsi="仿宋" w:eastAsia="仿宋" w:cs="仿宋"/>
          <w:color w:val="auto"/>
          <w:sz w:val="24"/>
          <w:szCs w:val="24"/>
          <w:highlight w:val="none"/>
          <w:lang w:eastAsia="zh-CN"/>
        </w:rPr>
        <w:t>中</w:t>
      </w:r>
      <w:bookmarkEnd w:id="21"/>
      <w:bookmarkStart w:id="23" w:name="OLE_LINK179"/>
      <w:r>
        <w:rPr>
          <w:rFonts w:hint="eastAsia" w:ascii="仿宋" w:hAnsi="仿宋" w:eastAsia="仿宋" w:cs="仿宋"/>
          <w:color w:val="auto"/>
          <w:sz w:val="24"/>
          <w:szCs w:val="24"/>
          <w:highlight w:val="none"/>
          <w:lang w:eastAsia="zh-CN"/>
        </w:rPr>
        <w:t>免费</w:t>
      </w:r>
      <w:bookmarkEnd w:id="23"/>
      <w:r>
        <w:rPr>
          <w:rFonts w:hint="eastAsia" w:ascii="仿宋" w:hAnsi="仿宋" w:eastAsia="仿宋" w:cs="仿宋"/>
          <w:color w:val="auto"/>
          <w:sz w:val="24"/>
          <w:szCs w:val="24"/>
          <w:highlight w:val="none"/>
          <w:lang w:eastAsia="zh-CN"/>
        </w:rPr>
        <w:t>下载</w:t>
      </w:r>
      <w:bookmarkEnd w:id="22"/>
      <w:r>
        <w:rPr>
          <w:rFonts w:hint="eastAsia" w:ascii="仿宋" w:hAnsi="仿宋" w:eastAsia="仿宋" w:cs="仿宋"/>
          <w:color w:val="auto"/>
          <w:sz w:val="24"/>
          <w:szCs w:val="24"/>
          <w:highlight w:val="none"/>
          <w:lang w:eastAsia="zh-CN"/>
        </w:rPr>
        <w:t>招标文件，并于2026年</w:t>
      </w:r>
      <w:r>
        <w:rPr>
          <w:rFonts w:hint="eastAsia" w:ascii="仿宋" w:hAnsi="仿宋" w:eastAsia="仿宋" w:cs="仿宋"/>
          <w:color w:val="auto"/>
          <w:sz w:val="24"/>
          <w:szCs w:val="24"/>
          <w:highlight w:val="none"/>
          <w:lang w:val="en-US" w:eastAsia="zh-CN"/>
        </w:rPr>
        <w:t>08</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lang w:val="en-US" w:eastAsia="zh-CN"/>
        </w:rPr>
        <w:t>07</w:t>
      </w:r>
      <w:r>
        <w:rPr>
          <w:rFonts w:hint="eastAsia" w:ascii="仿宋" w:hAnsi="仿宋" w:eastAsia="仿宋" w:cs="仿宋"/>
          <w:color w:val="auto"/>
          <w:sz w:val="24"/>
          <w:szCs w:val="24"/>
          <w:highlight w:val="none"/>
          <w:lang w:eastAsia="zh-CN"/>
        </w:rPr>
        <w:t>日14:</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0（北京时间）前上传加密版电子投标文件。</w:t>
      </w:r>
    </w:p>
    <w:p w14:paraId="3A03D8F4">
      <w:pPr>
        <w:pStyle w:val="191"/>
        <w:spacing w:before="0" w:after="0" w:line="500" w:lineRule="exact"/>
        <w:ind w:firstLine="436"/>
        <w:jc w:val="left"/>
        <w:rPr>
          <w:rFonts w:ascii="仿宋" w:hAnsi="仿宋" w:eastAsia="仿宋" w:cs="仿宋"/>
          <w:color w:val="auto"/>
          <w:sz w:val="28"/>
          <w:szCs w:val="28"/>
          <w:highlight w:val="none"/>
        </w:rPr>
      </w:pPr>
      <w:bookmarkStart w:id="24" w:name="_Toc14757"/>
      <w:bookmarkStart w:id="25" w:name="_Toc9101"/>
      <w:bookmarkStart w:id="26" w:name="_Toc38985263"/>
      <w:bookmarkStart w:id="27" w:name="_Toc31798"/>
      <w:bookmarkStart w:id="28" w:name="_Toc35393790"/>
      <w:bookmarkStart w:id="29" w:name="_Toc28359002"/>
      <w:bookmarkStart w:id="30" w:name="_Toc17660"/>
      <w:bookmarkStart w:id="31" w:name="_Toc35393621"/>
      <w:bookmarkStart w:id="32" w:name="_Toc28359079"/>
      <w:bookmarkStart w:id="33" w:name="_Hlk24379207"/>
      <w:r>
        <w:rPr>
          <w:rFonts w:hint="eastAsia" w:ascii="仿宋" w:hAnsi="仿宋" w:eastAsia="仿宋" w:cs="仿宋"/>
          <w:color w:val="auto"/>
          <w:sz w:val="28"/>
          <w:szCs w:val="28"/>
          <w:highlight w:val="none"/>
        </w:rPr>
        <w:t>一、项目基本情况</w:t>
      </w:r>
      <w:bookmarkEnd w:id="24"/>
      <w:bookmarkEnd w:id="25"/>
      <w:bookmarkEnd w:id="26"/>
      <w:bookmarkEnd w:id="27"/>
      <w:bookmarkEnd w:id="28"/>
      <w:bookmarkEnd w:id="29"/>
      <w:bookmarkEnd w:id="30"/>
      <w:bookmarkEnd w:id="31"/>
      <w:bookmarkEnd w:id="32"/>
    </w:p>
    <w:p w14:paraId="07C144DC">
      <w:pPr>
        <w:spacing w:line="500" w:lineRule="exact"/>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1.项目编号：</w:t>
      </w:r>
      <w:r>
        <w:rPr>
          <w:rFonts w:hint="eastAsia" w:ascii="仿宋" w:hAnsi="仿宋" w:eastAsia="仿宋" w:cs="仿宋"/>
          <w:color w:val="auto"/>
          <w:sz w:val="24"/>
          <w:szCs w:val="24"/>
          <w:highlight w:val="none"/>
          <w:lang w:eastAsia="zh-CN"/>
        </w:rPr>
        <w:t>JSZC-320000-JSQC-G2026-0027</w:t>
      </w:r>
    </w:p>
    <w:p w14:paraId="6DAC6038">
      <w:pPr>
        <w:spacing w:line="500" w:lineRule="exact"/>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2.项目名称：</w:t>
      </w:r>
      <w:r>
        <w:rPr>
          <w:rFonts w:hint="eastAsia" w:ascii="仿宋" w:hAnsi="仿宋" w:eastAsia="仿宋" w:cs="仿宋"/>
          <w:color w:val="auto"/>
          <w:sz w:val="24"/>
          <w:szCs w:val="24"/>
          <w:highlight w:val="none"/>
          <w:lang w:eastAsia="zh-CN"/>
        </w:rPr>
        <w:t>高速公路交通情况统计调查、路网运行监测与管控辅助服务</w:t>
      </w:r>
    </w:p>
    <w:bookmarkEnd w:id="33"/>
    <w:p w14:paraId="770EF2CF">
      <w:pPr>
        <w:spacing w:line="500" w:lineRule="exact"/>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3.预算</w:t>
      </w:r>
      <w:r>
        <w:rPr>
          <w:rFonts w:hint="eastAsia" w:ascii="仿宋" w:hAnsi="仿宋" w:eastAsia="仿宋" w:cs="仿宋"/>
          <w:color w:val="auto"/>
          <w:sz w:val="24"/>
          <w:szCs w:val="24"/>
          <w:highlight w:val="none"/>
          <w:lang w:val="en-US" w:eastAsia="zh-CN"/>
        </w:rPr>
        <w:t>总</w:t>
      </w:r>
      <w:r>
        <w:rPr>
          <w:rFonts w:hint="eastAsia" w:ascii="仿宋" w:hAnsi="仿宋" w:eastAsia="仿宋" w:cs="仿宋"/>
          <w:color w:val="auto"/>
          <w:sz w:val="24"/>
          <w:szCs w:val="24"/>
          <w:highlight w:val="none"/>
        </w:rPr>
        <w:t>金额（含税）：人民币</w:t>
      </w:r>
      <w:r>
        <w:rPr>
          <w:rFonts w:hint="eastAsia" w:ascii="仿宋" w:hAnsi="仿宋" w:eastAsia="仿宋" w:cs="仿宋"/>
          <w:b/>
          <w:bCs/>
          <w:color w:val="auto"/>
          <w:sz w:val="24"/>
          <w:szCs w:val="24"/>
          <w:highlight w:val="none"/>
          <w:u w:val="single"/>
          <w:lang w:val="en-US" w:eastAsia="zh-CN"/>
        </w:rPr>
        <w:t>壹佰贰拾陆万元</w:t>
      </w:r>
      <w:r>
        <w:rPr>
          <w:rFonts w:hint="eastAsia" w:ascii="仿宋" w:hAnsi="仿宋" w:eastAsia="仿宋" w:cs="仿宋"/>
          <w:color w:val="auto"/>
          <w:sz w:val="24"/>
          <w:szCs w:val="24"/>
          <w:highlight w:val="none"/>
        </w:rPr>
        <w:t>整（¥</w:t>
      </w:r>
      <w:r>
        <w:rPr>
          <w:rFonts w:hint="eastAsia" w:ascii="仿宋" w:hAnsi="仿宋" w:eastAsia="仿宋" w:cs="仿宋"/>
          <w:color w:val="auto"/>
          <w:sz w:val="24"/>
          <w:szCs w:val="24"/>
          <w:highlight w:val="none"/>
          <w:lang w:val="en-US" w:eastAsia="zh-CN"/>
        </w:rPr>
        <w:t>1,260</w:t>
      </w:r>
      <w:r>
        <w:rPr>
          <w:rFonts w:hint="eastAsia" w:ascii="仿宋" w:hAnsi="仿宋" w:eastAsia="仿宋" w:cs="仿宋"/>
          <w:color w:val="auto"/>
          <w:sz w:val="24"/>
          <w:szCs w:val="24"/>
          <w:highlight w:val="none"/>
        </w:rPr>
        <w:t>,000.00）</w:t>
      </w:r>
    </w:p>
    <w:p w14:paraId="1A40E306">
      <w:pPr>
        <w:spacing w:line="500" w:lineRule="exact"/>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分包一：高速公路交通情况统计调查及路网运行监测，预算金额为人民币76万元；</w:t>
      </w:r>
    </w:p>
    <w:p w14:paraId="22CB0DF4">
      <w:pPr>
        <w:spacing w:line="500" w:lineRule="exact"/>
        <w:ind w:firstLine="480" w:firstLineChars="20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分包二：长三角高速跨区域路网管控辅助服务，预算金额为人民币50万元。</w:t>
      </w:r>
    </w:p>
    <w:p w14:paraId="1D3F8B03">
      <w:pPr>
        <w:spacing w:line="500" w:lineRule="exact"/>
        <w:ind w:firstLine="480" w:firstLineChars="200"/>
        <w:rPr>
          <w:rFonts w:hint="eastAsia" w:ascii="仿宋" w:hAnsi="仿宋" w:eastAsia="仿宋" w:cs="仿宋"/>
          <w:b/>
          <w:bCs/>
          <w:i/>
          <w:iCs/>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最高</w:t>
      </w:r>
      <w:r>
        <w:rPr>
          <w:rFonts w:hint="eastAsia" w:ascii="仿宋" w:hAnsi="仿宋" w:eastAsia="仿宋" w:cs="仿宋"/>
          <w:color w:val="auto"/>
          <w:sz w:val="24"/>
          <w:szCs w:val="24"/>
          <w:highlight w:val="none"/>
          <w:lang w:val="en-US" w:eastAsia="zh-CN"/>
        </w:rPr>
        <w:t>总</w:t>
      </w:r>
      <w:r>
        <w:rPr>
          <w:rFonts w:hint="eastAsia" w:ascii="仿宋" w:hAnsi="仿宋" w:eastAsia="仿宋" w:cs="仿宋"/>
          <w:color w:val="auto"/>
          <w:sz w:val="24"/>
          <w:szCs w:val="24"/>
          <w:highlight w:val="none"/>
        </w:rPr>
        <w:t>限价（含税）：</w:t>
      </w:r>
      <w:r>
        <w:rPr>
          <w:rFonts w:hint="eastAsia" w:ascii="仿宋" w:hAnsi="仿宋" w:eastAsia="仿宋" w:cs="仿宋"/>
          <w:b/>
          <w:bCs/>
          <w:i/>
          <w:iCs/>
          <w:color w:val="auto"/>
          <w:sz w:val="24"/>
          <w:szCs w:val="24"/>
          <w:highlight w:val="none"/>
          <w:u w:val="single"/>
          <w:lang w:val="en-US" w:eastAsia="zh-CN"/>
        </w:rPr>
        <w:t>分包一：高速公路交通统计与路网日常监测辅助服务，最高限价为人民币76万元；</w:t>
      </w:r>
    </w:p>
    <w:p w14:paraId="1BF9A062">
      <w:pPr>
        <w:spacing w:line="500" w:lineRule="exact"/>
        <w:ind w:firstLine="482" w:firstLineChars="200"/>
        <w:rPr>
          <w:rFonts w:hint="eastAsia" w:ascii="仿宋" w:hAnsi="仿宋" w:eastAsia="仿宋" w:cs="仿宋"/>
          <w:b/>
          <w:bCs/>
          <w:i/>
          <w:iCs/>
          <w:color w:val="auto"/>
          <w:sz w:val="24"/>
          <w:szCs w:val="24"/>
          <w:highlight w:val="none"/>
          <w:u w:val="single"/>
          <w:lang w:val="en-US" w:eastAsia="zh-CN"/>
        </w:rPr>
      </w:pPr>
      <w:r>
        <w:rPr>
          <w:rFonts w:hint="eastAsia" w:ascii="仿宋" w:hAnsi="仿宋" w:eastAsia="仿宋" w:cs="仿宋"/>
          <w:b/>
          <w:bCs/>
          <w:i/>
          <w:iCs/>
          <w:color w:val="auto"/>
          <w:sz w:val="24"/>
          <w:szCs w:val="24"/>
          <w:highlight w:val="none"/>
          <w:u w:val="single"/>
          <w:lang w:val="en-US" w:eastAsia="zh-CN"/>
        </w:rPr>
        <w:t>分包二：长三角高速跨区域路网管控辅助服务，最高限价为人民币50万元。</w:t>
      </w:r>
    </w:p>
    <w:p w14:paraId="02956908">
      <w:pPr>
        <w:spacing w:line="500" w:lineRule="exact"/>
        <w:ind w:firstLine="482" w:firstLineChars="200"/>
        <w:rPr>
          <w:rFonts w:hint="default" w:ascii="仿宋" w:hAnsi="仿宋" w:eastAsia="仿宋" w:cs="仿宋"/>
          <w:b/>
          <w:bCs/>
          <w:i/>
          <w:iCs/>
          <w:color w:val="auto"/>
          <w:sz w:val="24"/>
          <w:szCs w:val="24"/>
          <w:highlight w:val="none"/>
          <w:u w:val="single"/>
          <w:lang w:val="en-US" w:eastAsia="zh-CN"/>
        </w:rPr>
      </w:pPr>
      <w:r>
        <w:rPr>
          <w:rFonts w:hint="eastAsia" w:ascii="仿宋" w:hAnsi="仿宋" w:eastAsia="仿宋" w:cs="仿宋"/>
          <w:b/>
          <w:bCs/>
          <w:i/>
          <w:iCs/>
          <w:color w:val="auto"/>
          <w:sz w:val="24"/>
          <w:szCs w:val="24"/>
          <w:highlight w:val="none"/>
          <w:u w:val="single"/>
          <w:lang w:val="en-US" w:eastAsia="zh-CN"/>
        </w:rPr>
        <w:t>报价不得超过最高限价，否则视为无效投标。</w:t>
      </w:r>
    </w:p>
    <w:p w14:paraId="6F591755">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5.采购需求：</w:t>
      </w:r>
      <w:r>
        <w:rPr>
          <w:rFonts w:hint="eastAsia" w:ascii="仿宋" w:hAnsi="仿宋" w:eastAsia="仿宋" w:cs="仿宋"/>
          <w:color w:val="auto"/>
          <w:sz w:val="24"/>
          <w:szCs w:val="24"/>
          <w:highlight w:val="none"/>
          <w:lang w:val="en-US" w:eastAsia="zh-CN"/>
        </w:rPr>
        <w:t>高速公路交通情况统计调查、路网运行监测与管控辅助服务</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具体内容详见招标文件项目需求章节。</w:t>
      </w:r>
    </w:p>
    <w:p w14:paraId="182682FF">
      <w:pPr>
        <w:spacing w:line="500" w:lineRule="exact"/>
        <w:ind w:firstLine="480"/>
        <w:rPr>
          <w:rFonts w:hint="default" w:ascii="仿宋" w:hAnsi="仿宋" w:eastAsia="仿宋" w:cs="仿宋"/>
          <w:color w:val="auto"/>
          <w:sz w:val="24"/>
          <w:szCs w:val="24"/>
          <w:highlight w:val="none"/>
          <w:u w:val="single"/>
          <w:lang w:val="en-US"/>
        </w:rPr>
      </w:pPr>
      <w:r>
        <w:rPr>
          <w:rFonts w:hint="eastAsia" w:ascii="仿宋" w:hAnsi="仿宋" w:eastAsia="仿宋" w:cs="仿宋"/>
          <w:color w:val="auto"/>
          <w:sz w:val="24"/>
          <w:szCs w:val="24"/>
          <w:highlight w:val="none"/>
        </w:rPr>
        <w:t>6.合同履行期限：</w:t>
      </w:r>
      <w:r>
        <w:rPr>
          <w:rFonts w:hint="eastAsia" w:ascii="仿宋" w:hAnsi="仿宋" w:eastAsia="仿宋" w:cs="仿宋"/>
          <w:color w:val="auto"/>
          <w:sz w:val="24"/>
          <w:szCs w:val="24"/>
          <w:highlight w:val="none"/>
          <w:lang w:val="en-US" w:eastAsia="zh-CN"/>
        </w:rPr>
        <w:t>分包一：合同签订之日起满一年；分包二：合同签订之日起至2026年11月30日。</w:t>
      </w:r>
    </w:p>
    <w:p w14:paraId="70070838">
      <w:pPr>
        <w:spacing w:line="500" w:lineRule="exact"/>
        <w:ind w:firstLine="480"/>
        <w:rPr>
          <w:rFonts w:hint="eastAsia" w:ascii="仿宋" w:hAnsi="仿宋" w:eastAsia="仿宋" w:cs="仿宋"/>
          <w:color w:val="auto"/>
          <w:sz w:val="24"/>
          <w:szCs w:val="24"/>
          <w:highlight w:val="none"/>
        </w:rPr>
      </w:pPr>
      <w:bookmarkStart w:id="34" w:name="_Toc35393622"/>
      <w:bookmarkStart w:id="35" w:name="_Toc38985264"/>
      <w:bookmarkStart w:id="36" w:name="_Toc35393791"/>
      <w:bookmarkStart w:id="37" w:name="_Toc11258"/>
      <w:bookmarkStart w:id="38" w:name="_Toc28359080"/>
      <w:bookmarkStart w:id="39" w:name="_Toc28359003"/>
      <w:r>
        <w:rPr>
          <w:rFonts w:hint="eastAsia" w:ascii="仿宋" w:hAnsi="仿宋" w:eastAsia="仿宋" w:cs="仿宋"/>
          <w:color w:val="auto"/>
          <w:sz w:val="24"/>
          <w:szCs w:val="24"/>
          <w:highlight w:val="none"/>
        </w:rPr>
        <w:t>7.本项目是否属于专门面向中小企业采购项目：</w:t>
      </w:r>
    </w:p>
    <w:p w14:paraId="7744AD9C">
      <w:pPr>
        <w:spacing w:line="500" w:lineRule="exact"/>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分包一：专门面向中小企业采购项目。</w:t>
      </w:r>
    </w:p>
    <w:p w14:paraId="702898BD">
      <w:pPr>
        <w:spacing w:line="50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分包二：非专门面向中小企业采购项目</w:t>
      </w:r>
      <w:r>
        <w:rPr>
          <w:rFonts w:hint="eastAsia" w:ascii="仿宋" w:hAnsi="仿宋" w:eastAsia="仿宋" w:cs="仿宋"/>
          <w:color w:val="auto"/>
          <w:sz w:val="24"/>
          <w:szCs w:val="24"/>
          <w:highlight w:val="none"/>
        </w:rPr>
        <w:t>。</w:t>
      </w:r>
    </w:p>
    <w:p w14:paraId="1926F9E4">
      <w:pPr>
        <w:pStyle w:val="191"/>
        <w:spacing w:before="0" w:after="0" w:line="500" w:lineRule="exact"/>
        <w:ind w:firstLine="436"/>
        <w:jc w:val="left"/>
        <w:rPr>
          <w:rFonts w:ascii="仿宋" w:hAnsi="仿宋" w:eastAsia="仿宋" w:cs="仿宋"/>
          <w:color w:val="auto"/>
          <w:sz w:val="28"/>
          <w:szCs w:val="28"/>
          <w:highlight w:val="none"/>
        </w:rPr>
      </w:pPr>
      <w:bookmarkStart w:id="40" w:name="_Toc25052"/>
      <w:bookmarkStart w:id="41" w:name="_Toc13683"/>
      <w:bookmarkStart w:id="42" w:name="_Toc14057"/>
      <w:r>
        <w:rPr>
          <w:rFonts w:hint="eastAsia" w:ascii="仿宋" w:hAnsi="仿宋" w:eastAsia="仿宋" w:cs="仿宋"/>
          <w:color w:val="auto"/>
          <w:sz w:val="28"/>
          <w:szCs w:val="28"/>
          <w:highlight w:val="none"/>
        </w:rPr>
        <w:t>二、投标人的资格要求：</w:t>
      </w:r>
      <w:bookmarkEnd w:id="34"/>
      <w:bookmarkEnd w:id="35"/>
      <w:bookmarkEnd w:id="36"/>
      <w:bookmarkEnd w:id="37"/>
      <w:bookmarkEnd w:id="38"/>
      <w:bookmarkEnd w:id="39"/>
      <w:bookmarkEnd w:id="40"/>
      <w:bookmarkEnd w:id="41"/>
      <w:bookmarkEnd w:id="42"/>
    </w:p>
    <w:p w14:paraId="2240A3E7">
      <w:pPr>
        <w:spacing w:line="500" w:lineRule="exact"/>
        <w:ind w:firstLine="480"/>
        <w:rPr>
          <w:rFonts w:ascii="仿宋" w:hAnsi="仿宋" w:eastAsia="仿宋" w:cs="仿宋"/>
          <w:color w:val="auto"/>
          <w:sz w:val="24"/>
          <w:szCs w:val="24"/>
          <w:highlight w:val="none"/>
        </w:rPr>
      </w:pPr>
      <w:bookmarkStart w:id="43" w:name="_Toc28359081"/>
      <w:bookmarkStart w:id="44" w:name="_Toc28359004"/>
      <w:bookmarkStart w:id="45" w:name="_Toc38985265"/>
      <w:bookmarkStart w:id="46" w:name="_Toc35393792"/>
      <w:bookmarkStart w:id="47" w:name="_Toc35393623"/>
      <w:r>
        <w:rPr>
          <w:rFonts w:hint="eastAsia" w:ascii="仿宋" w:hAnsi="仿宋" w:eastAsia="仿宋" w:cs="仿宋"/>
          <w:color w:val="auto"/>
          <w:sz w:val="24"/>
          <w:szCs w:val="24"/>
          <w:highlight w:val="none"/>
        </w:rPr>
        <w:t>1.满足《中华人民共和国政府采购法》第二十二条规定，并提供下列材料：</w:t>
      </w:r>
    </w:p>
    <w:p w14:paraId="4DF7E1DA">
      <w:pPr>
        <w:spacing w:line="500" w:lineRule="exact"/>
        <w:ind w:firstLine="480"/>
        <w:rPr>
          <w:rFonts w:ascii="仿宋" w:hAnsi="仿宋" w:eastAsia="仿宋" w:cs="仿宋"/>
          <w:color w:val="auto"/>
          <w:sz w:val="24"/>
          <w:szCs w:val="24"/>
          <w:highlight w:val="none"/>
        </w:rPr>
      </w:pPr>
      <w:bookmarkStart w:id="48" w:name="_Toc23404"/>
      <w:bookmarkStart w:id="49" w:name="_Toc30251"/>
      <w:r>
        <w:rPr>
          <w:rFonts w:hint="eastAsia" w:ascii="仿宋" w:hAnsi="仿宋" w:eastAsia="仿宋" w:cs="仿宋"/>
          <w:color w:val="auto"/>
          <w:sz w:val="24"/>
          <w:szCs w:val="24"/>
          <w:highlight w:val="none"/>
        </w:rPr>
        <w:t>1.1 具有独立承担民事责任的能力（提供营业执照，自然人的身份证并加盖公章）。</w:t>
      </w:r>
    </w:p>
    <w:p w14:paraId="09BED8BC">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1.2 具有良好的商业信誉和健全的财务会计制度（提供</w:t>
      </w:r>
      <w:r>
        <w:rPr>
          <w:rFonts w:hint="eastAsia" w:ascii="仿宋" w:hAnsi="仿宋" w:eastAsia="仿宋" w:cs="仿宋"/>
          <w:color w:val="auto"/>
          <w:sz w:val="24"/>
          <w:szCs w:val="24"/>
          <w:highlight w:val="none"/>
          <w:lang w:eastAsia="zh-CN"/>
        </w:rPr>
        <w:t>上一年度的财务状况报告（成立不满1年不需提供。若2025年财务状况报告未完成，可提交2024年的财务状况或近1年任意1个月的财务报表）</w:t>
      </w:r>
      <w:r>
        <w:rPr>
          <w:rFonts w:hint="eastAsia" w:ascii="仿宋" w:hAnsi="仿宋" w:eastAsia="仿宋" w:cs="仿宋"/>
          <w:color w:val="auto"/>
          <w:sz w:val="24"/>
          <w:szCs w:val="24"/>
          <w:highlight w:val="none"/>
        </w:rPr>
        <w:t>）。</w:t>
      </w:r>
    </w:p>
    <w:p w14:paraId="4AD36D41">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1.3 有依法缴纳税收和社会保障资金的良好记录（提供提交投标文件截止时间</w:t>
      </w:r>
      <w:r>
        <w:rPr>
          <w:rFonts w:hint="eastAsia" w:ascii="仿宋" w:hAnsi="仿宋" w:eastAsia="仿宋" w:cs="仿宋"/>
          <w:b/>
          <w:bCs/>
          <w:color w:val="auto"/>
          <w:sz w:val="24"/>
          <w:szCs w:val="24"/>
          <w:highlight w:val="none"/>
        </w:rPr>
        <w:t>前1年内至少一个月依法缴纳税收及缴纳社会保障资金的证明材料</w:t>
      </w:r>
      <w:r>
        <w:rPr>
          <w:rFonts w:hint="eastAsia" w:ascii="仿宋" w:hAnsi="仿宋" w:eastAsia="仿宋" w:cs="仿宋"/>
          <w:color w:val="auto"/>
          <w:sz w:val="24"/>
          <w:szCs w:val="24"/>
          <w:highlight w:val="none"/>
        </w:rPr>
        <w:t>。投标人依法享受缓缴、免缴税收、社会保障资金的提供证明材料）。</w:t>
      </w:r>
    </w:p>
    <w:p w14:paraId="4BEC49DF">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1.4具备履行合同所必需的设备和专业技术能力的书面声明。</w:t>
      </w:r>
    </w:p>
    <w:p w14:paraId="3820C3D9">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1.5参加政府采购活动前3年内在经营活动中没有重大违法记录的书面声明。</w:t>
      </w:r>
    </w:p>
    <w:p w14:paraId="13F5FB42">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1.6法律、行政法规规定的其他条件：无。</w:t>
      </w:r>
    </w:p>
    <w:p w14:paraId="22D2E4F7">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注：（1）第1.5条所称重大违法记录，是指投标人因违法经营受到刑事处罚或者责令停产停业、吊销许可证或者执照、较大数额罚款等行政处罚。（2）投标人在参加政府采购活动前3年内因违法经营被禁止在一定期限内参加政府采购活动，期限届满的，可以参加政府采购活动。</w:t>
      </w:r>
    </w:p>
    <w:p w14:paraId="195BCD14">
      <w:pPr>
        <w:numPr>
          <w:ilvl w:val="0"/>
          <w:numId w:val="4"/>
        </w:numPr>
        <w:spacing w:line="50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落实政府采购政策需满足的资格要求：</w:t>
      </w:r>
    </w:p>
    <w:p w14:paraId="39C3B97B">
      <w:pPr>
        <w:numPr>
          <w:ilvl w:val="0"/>
          <w:numId w:val="0"/>
        </w:numPr>
        <w:spacing w:line="500" w:lineRule="exact"/>
        <w:ind w:firstLine="480" w:firstLineChars="200"/>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分包一：专门面向中小企业采购项目，投标人提供《中小企业声明函》原件；监狱企业视同小型、微型企业，提供由省级以上监狱管理局、戒毒管理局（含新疆生产建设兵团）出具的属于监狱企业的证明文件；残疾人福利性单位视同小型、微型企业，提供《残疾人福利性单位声明函》原件。</w:t>
      </w:r>
    </w:p>
    <w:p w14:paraId="4EFD3E5C">
      <w:pPr>
        <w:spacing w:line="50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分包二：非专门面向中小企业采购项目</w:t>
      </w:r>
      <w:r>
        <w:rPr>
          <w:rFonts w:hint="eastAsia" w:ascii="仿宋" w:hAnsi="仿宋" w:eastAsia="仿宋" w:cs="仿宋"/>
          <w:color w:val="auto"/>
          <w:sz w:val="24"/>
          <w:szCs w:val="24"/>
          <w:highlight w:val="none"/>
        </w:rPr>
        <w:t>。</w:t>
      </w:r>
    </w:p>
    <w:p w14:paraId="1C676D19">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3.本项目的特定资格要求：</w:t>
      </w:r>
      <w:r>
        <w:rPr>
          <w:rFonts w:hint="eastAsia" w:ascii="仿宋" w:hAnsi="仿宋" w:eastAsia="仿宋" w:cs="仿宋"/>
          <w:color w:val="auto"/>
          <w:sz w:val="24"/>
          <w:szCs w:val="24"/>
          <w:highlight w:val="none"/>
          <w:lang w:val="en-US" w:eastAsia="zh-CN"/>
        </w:rPr>
        <w:t>无</w:t>
      </w:r>
      <w:r>
        <w:rPr>
          <w:rFonts w:hint="eastAsia" w:ascii="仿宋" w:hAnsi="仿宋" w:eastAsia="仿宋" w:cs="仿宋"/>
          <w:color w:val="auto"/>
          <w:sz w:val="24"/>
          <w:szCs w:val="24"/>
          <w:highlight w:val="none"/>
        </w:rPr>
        <w:t>。</w:t>
      </w:r>
    </w:p>
    <w:p w14:paraId="42525A8E">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4.本项目</w:t>
      </w:r>
      <w:r>
        <w:rPr>
          <w:rFonts w:hint="eastAsia" w:ascii="仿宋" w:hAnsi="仿宋" w:eastAsia="仿宋" w:cs="仿宋"/>
          <w:b/>
          <w:bCs/>
          <w:color w:val="auto"/>
          <w:sz w:val="24"/>
          <w:szCs w:val="24"/>
          <w:highlight w:val="none"/>
          <w:u w:val="single"/>
          <w:lang w:val="en-US" w:eastAsia="zh-CN"/>
        </w:rPr>
        <w:t>不</w:t>
      </w:r>
      <w:r>
        <w:rPr>
          <w:rFonts w:hint="eastAsia" w:ascii="仿宋" w:hAnsi="仿宋" w:eastAsia="仿宋" w:cs="仿宋"/>
          <w:b/>
          <w:bCs/>
          <w:color w:val="auto"/>
          <w:sz w:val="24"/>
          <w:szCs w:val="24"/>
          <w:highlight w:val="none"/>
          <w:u w:val="single"/>
        </w:rPr>
        <w:t>接受</w:t>
      </w:r>
      <w:r>
        <w:rPr>
          <w:rFonts w:hint="eastAsia" w:ascii="仿宋" w:hAnsi="仿宋" w:eastAsia="仿宋" w:cs="仿宋"/>
          <w:color w:val="auto"/>
          <w:sz w:val="24"/>
          <w:szCs w:val="24"/>
          <w:highlight w:val="none"/>
        </w:rPr>
        <w:t>联合体投标。</w:t>
      </w:r>
    </w:p>
    <w:p w14:paraId="64ED2C88">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5.本项目</w:t>
      </w:r>
      <w:r>
        <w:rPr>
          <w:rFonts w:hint="eastAsia" w:ascii="仿宋" w:hAnsi="仿宋" w:eastAsia="仿宋" w:cs="仿宋"/>
          <w:b/>
          <w:bCs/>
          <w:color w:val="auto"/>
          <w:sz w:val="24"/>
          <w:szCs w:val="24"/>
          <w:highlight w:val="none"/>
          <w:u w:val="single"/>
        </w:rPr>
        <w:t>不允许</w:t>
      </w:r>
      <w:r>
        <w:rPr>
          <w:rFonts w:hint="eastAsia" w:ascii="仿宋" w:hAnsi="仿宋" w:eastAsia="仿宋" w:cs="仿宋"/>
          <w:color w:val="auto"/>
          <w:sz w:val="24"/>
          <w:szCs w:val="24"/>
          <w:highlight w:val="none"/>
        </w:rPr>
        <w:t>分包、转包；</w:t>
      </w:r>
      <w:r>
        <w:rPr>
          <w:rFonts w:hint="eastAsia" w:ascii="仿宋" w:hAnsi="仿宋" w:eastAsia="仿宋" w:cs="仿宋"/>
          <w:b/>
          <w:bCs/>
          <w:color w:val="auto"/>
          <w:sz w:val="24"/>
          <w:szCs w:val="24"/>
          <w:highlight w:val="none"/>
          <w:u w:val="single"/>
        </w:rPr>
        <w:t>不接受</w:t>
      </w:r>
      <w:r>
        <w:rPr>
          <w:rFonts w:hint="eastAsia" w:ascii="仿宋" w:hAnsi="仿宋" w:eastAsia="仿宋" w:cs="仿宋"/>
          <w:color w:val="auto"/>
          <w:sz w:val="24"/>
          <w:szCs w:val="24"/>
          <w:highlight w:val="none"/>
        </w:rPr>
        <w:t>进口产品投标（注：本文件所称进口产品是指通过中国海关报关验放进入中国境内且产自关境外的产品）。</w:t>
      </w:r>
    </w:p>
    <w:p w14:paraId="395A342F">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6.拒绝下述投标人参加本次采购活动：</w:t>
      </w:r>
    </w:p>
    <w:p w14:paraId="2D08E970">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6.1负责人为同一人或者存在直接控股、管理关系的不同供应商，不得参加同一合同项下的政府采购活动。</w:t>
      </w:r>
    </w:p>
    <w:p w14:paraId="60FE58D3">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6.2投标人被“信用中国”（www.creditchina.gov.cn）、“中国政府采购网”（www.ccgp.gov.cn）等网站列入失信被执行人、</w:t>
      </w:r>
      <w:r>
        <w:rPr>
          <w:rFonts w:hint="eastAsia" w:ascii="仿宋" w:hAnsi="仿宋" w:eastAsia="仿宋" w:cs="仿宋"/>
          <w:color w:val="auto"/>
          <w:sz w:val="24"/>
          <w:szCs w:val="24"/>
          <w:highlight w:val="none"/>
          <w:lang w:eastAsia="zh-CN"/>
        </w:rPr>
        <w:t>重大税收违法失信主体名单</w:t>
      </w:r>
      <w:r>
        <w:rPr>
          <w:rFonts w:hint="eastAsia" w:ascii="仿宋" w:hAnsi="仿宋" w:eastAsia="仿宋" w:cs="仿宋"/>
          <w:color w:val="auto"/>
          <w:sz w:val="24"/>
          <w:szCs w:val="24"/>
          <w:highlight w:val="none"/>
        </w:rPr>
        <w:t>、政府采购严重违法失信行为记录名单。</w:t>
      </w:r>
    </w:p>
    <w:p w14:paraId="51DF12DF">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6.3除单一来源采购项目外，为采购项目提供整体设计、规范编制或者项目管理、监理、检测等服务的投标人，不得再参加该采购项目的其他采购活动。</w:t>
      </w:r>
    </w:p>
    <w:p w14:paraId="714A8A76">
      <w:pPr>
        <w:pStyle w:val="191"/>
        <w:spacing w:before="0" w:after="0" w:line="500" w:lineRule="exact"/>
        <w:ind w:firstLine="436"/>
        <w:jc w:val="left"/>
        <w:rPr>
          <w:rFonts w:ascii="仿宋" w:hAnsi="仿宋" w:eastAsia="仿宋" w:cs="仿宋"/>
          <w:color w:val="auto"/>
          <w:sz w:val="28"/>
          <w:szCs w:val="28"/>
          <w:highlight w:val="none"/>
        </w:rPr>
      </w:pPr>
      <w:bookmarkStart w:id="50" w:name="_Toc21687"/>
      <w:bookmarkStart w:id="51" w:name="_Toc23952"/>
      <w:r>
        <w:rPr>
          <w:rFonts w:hint="eastAsia" w:ascii="仿宋" w:hAnsi="仿宋" w:eastAsia="仿宋" w:cs="仿宋"/>
          <w:color w:val="auto"/>
          <w:sz w:val="28"/>
          <w:szCs w:val="28"/>
          <w:highlight w:val="none"/>
        </w:rPr>
        <w:t>三、获取招标文件</w:t>
      </w:r>
      <w:bookmarkEnd w:id="43"/>
      <w:bookmarkEnd w:id="44"/>
      <w:bookmarkEnd w:id="45"/>
      <w:bookmarkEnd w:id="46"/>
      <w:bookmarkEnd w:id="47"/>
      <w:bookmarkEnd w:id="48"/>
      <w:bookmarkEnd w:id="49"/>
      <w:bookmarkEnd w:id="50"/>
      <w:bookmarkEnd w:id="51"/>
    </w:p>
    <w:p w14:paraId="41C7975B">
      <w:pPr>
        <w:spacing w:line="500" w:lineRule="exact"/>
        <w:ind w:firstLine="539"/>
        <w:rPr>
          <w:rFonts w:ascii="仿宋" w:hAnsi="仿宋" w:eastAsia="仿宋" w:cs="仿宋"/>
          <w:color w:val="auto"/>
          <w:sz w:val="24"/>
          <w:szCs w:val="24"/>
          <w:highlight w:val="none"/>
        </w:rPr>
      </w:pPr>
      <w:bookmarkStart w:id="52" w:name="_Toc28359005"/>
      <w:bookmarkStart w:id="53" w:name="_Toc28359082"/>
      <w:bookmarkStart w:id="54" w:name="_Toc35393793"/>
      <w:bookmarkStart w:id="55" w:name="_Toc7070"/>
      <w:bookmarkStart w:id="56" w:name="_Toc35393624"/>
      <w:bookmarkStart w:id="57" w:name="_Toc38985266"/>
      <w:r>
        <w:rPr>
          <w:rFonts w:hint="eastAsia" w:ascii="仿宋" w:hAnsi="仿宋" w:eastAsia="仿宋" w:cs="仿宋"/>
          <w:b/>
          <w:bCs/>
          <w:color w:val="auto"/>
          <w:sz w:val="24"/>
          <w:szCs w:val="24"/>
          <w:highlight w:val="none"/>
        </w:rPr>
        <w:t>时间：</w:t>
      </w:r>
      <w:r>
        <w:rPr>
          <w:rFonts w:hint="eastAsia" w:ascii="仿宋" w:hAnsi="仿宋" w:eastAsia="仿宋" w:cs="仿宋"/>
          <w:color w:val="auto"/>
          <w:sz w:val="24"/>
          <w:szCs w:val="24"/>
          <w:highlight w:val="none"/>
        </w:rPr>
        <w:t>202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07</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17</w:t>
      </w:r>
      <w:r>
        <w:rPr>
          <w:rFonts w:hint="eastAsia" w:ascii="仿宋" w:hAnsi="仿宋" w:eastAsia="仿宋" w:cs="仿宋"/>
          <w:color w:val="auto"/>
          <w:sz w:val="24"/>
          <w:szCs w:val="24"/>
          <w:highlight w:val="none"/>
        </w:rPr>
        <w:t>日至202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07</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24</w:t>
      </w:r>
      <w:r>
        <w:rPr>
          <w:rFonts w:hint="eastAsia" w:ascii="仿宋" w:hAnsi="仿宋" w:eastAsia="仿宋" w:cs="仿宋"/>
          <w:color w:val="auto"/>
          <w:sz w:val="24"/>
          <w:szCs w:val="24"/>
          <w:highlight w:val="none"/>
        </w:rPr>
        <w:t>日，每天上午09:00至12:00，下午</w:t>
      </w:r>
      <w:r>
        <w:rPr>
          <w:rFonts w:hint="eastAsia" w:ascii="仿宋" w:hAnsi="仿宋" w:eastAsia="仿宋" w:cs="仿宋"/>
          <w:color w:val="auto"/>
          <w:sz w:val="24"/>
          <w:szCs w:val="24"/>
          <w:highlight w:val="none"/>
          <w:lang w:val="en-US" w:eastAsia="zh-CN"/>
        </w:rPr>
        <w:t>14</w:t>
      </w:r>
      <w:r>
        <w:rPr>
          <w:rFonts w:hint="eastAsia" w:ascii="仿宋" w:hAnsi="仿宋" w:eastAsia="仿宋" w:cs="仿宋"/>
          <w:color w:val="auto"/>
          <w:sz w:val="24"/>
          <w:szCs w:val="24"/>
          <w:highlight w:val="none"/>
        </w:rPr>
        <w:t>:00至</w:t>
      </w:r>
      <w:r>
        <w:rPr>
          <w:rFonts w:hint="eastAsia" w:ascii="仿宋" w:hAnsi="仿宋" w:eastAsia="仿宋" w:cs="仿宋"/>
          <w:color w:val="auto"/>
          <w:sz w:val="24"/>
          <w:szCs w:val="24"/>
          <w:highlight w:val="none"/>
          <w:lang w:val="en-US" w:eastAsia="zh-CN"/>
        </w:rPr>
        <w:t>17</w:t>
      </w:r>
      <w:r>
        <w:rPr>
          <w:rFonts w:hint="eastAsia" w:ascii="仿宋" w:hAnsi="仿宋" w:eastAsia="仿宋" w:cs="仿宋"/>
          <w:color w:val="auto"/>
          <w:sz w:val="24"/>
          <w:szCs w:val="24"/>
          <w:highlight w:val="none"/>
        </w:rPr>
        <w:t>:00（北京时间，法定节假日除外）。</w:t>
      </w:r>
    </w:p>
    <w:p w14:paraId="39F8B838">
      <w:pPr>
        <w:spacing w:line="500" w:lineRule="exact"/>
        <w:ind w:firstLine="540"/>
        <w:rPr>
          <w:rFonts w:hint="eastAsia" w:ascii="仿宋" w:hAnsi="仿宋" w:eastAsia="仿宋" w:cs="仿宋"/>
          <w:color w:val="auto"/>
          <w:sz w:val="24"/>
          <w:szCs w:val="24"/>
          <w:highlight w:val="none"/>
          <w:u w:val="single"/>
          <w:lang w:eastAsia="zh-CN"/>
        </w:rPr>
      </w:pPr>
      <w:r>
        <w:rPr>
          <w:rFonts w:hint="eastAsia" w:ascii="仿宋" w:hAnsi="仿宋" w:eastAsia="仿宋" w:cs="仿宋"/>
          <w:b/>
          <w:bCs/>
          <w:color w:val="auto"/>
          <w:sz w:val="24"/>
          <w:szCs w:val="24"/>
          <w:highlight w:val="none"/>
        </w:rPr>
        <w:t>地点：</w:t>
      </w:r>
      <w:r>
        <w:rPr>
          <w:rFonts w:hint="eastAsia" w:ascii="仿宋" w:hAnsi="仿宋" w:eastAsia="仿宋" w:cs="仿宋"/>
          <w:color w:val="auto"/>
          <w:sz w:val="24"/>
          <w:szCs w:val="24"/>
          <w:highlight w:val="none"/>
          <w:u w:val="single"/>
          <w:lang w:eastAsia="zh-CN"/>
        </w:rPr>
        <w:t>江苏政府采购网“苏采云”系统</w:t>
      </w:r>
    </w:p>
    <w:p w14:paraId="7A22C87E">
      <w:pPr>
        <w:spacing w:line="500" w:lineRule="exact"/>
        <w:ind w:firstLine="540"/>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获取方式：</w:t>
      </w:r>
    </w:p>
    <w:p w14:paraId="1626385C">
      <w:pPr>
        <w:spacing w:line="500" w:lineRule="exact"/>
        <w:ind w:firstLine="539"/>
        <w:rPr>
          <w:rFonts w:hint="eastAsia" w:ascii="仿宋" w:hAnsi="仿宋" w:eastAsia="仿宋" w:cs="仿宋"/>
          <w:color w:val="auto"/>
          <w:sz w:val="24"/>
          <w:szCs w:val="24"/>
          <w:highlight w:val="none"/>
        </w:rPr>
      </w:pPr>
      <w:bookmarkStart w:id="58" w:name="OLE_LINK212"/>
      <w:bookmarkStart w:id="59" w:name="_Toc19261"/>
      <w:r>
        <w:rPr>
          <w:rFonts w:hint="eastAsia" w:ascii="仿宋" w:hAnsi="仿宋" w:eastAsia="仿宋" w:cs="仿宋"/>
          <w:color w:val="auto"/>
          <w:sz w:val="24"/>
          <w:szCs w:val="24"/>
          <w:highlight w:val="none"/>
        </w:rPr>
        <w:t>供应商登录江苏政府采购网，在网站首页点击“苏采云”系统自行免费下载。</w:t>
      </w:r>
    </w:p>
    <w:p w14:paraId="178CA38E">
      <w:pPr>
        <w:spacing w:line="500" w:lineRule="exact"/>
        <w:ind w:firstLine="5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步骤如下：供应商登录“江苏政府采购网”，在网站首页点击“苏采云”→使用CA锁登录系统(新用户应进行“平台用户注册”)→“项目参与”进行登记，在“可参与项目”中选择“我要参与”，参与成功后到“已参与项目”界面中找到该项目下载文件并进行操</w:t>
      </w:r>
      <w:bookmarkStart w:id="60" w:name="OLE_LINK85"/>
      <w:r>
        <w:rPr>
          <w:rFonts w:hint="eastAsia" w:ascii="仿宋" w:hAnsi="仿宋" w:eastAsia="仿宋" w:cs="仿宋"/>
          <w:color w:val="auto"/>
          <w:sz w:val="24"/>
          <w:szCs w:val="24"/>
          <w:highlight w:val="none"/>
        </w:rPr>
        <w:t>作</w:t>
      </w:r>
      <w:bookmarkEnd w:id="60"/>
      <w:r>
        <w:rPr>
          <w:rFonts w:hint="eastAsia" w:ascii="仿宋" w:hAnsi="仿宋" w:eastAsia="仿宋" w:cs="仿宋"/>
          <w:color w:val="auto"/>
          <w:sz w:val="24"/>
          <w:szCs w:val="24"/>
          <w:highlight w:val="none"/>
        </w:rPr>
        <w:t>。</w:t>
      </w:r>
    </w:p>
    <w:bookmarkEnd w:id="58"/>
    <w:p w14:paraId="4AC589A4">
      <w:pPr>
        <w:spacing w:line="500" w:lineRule="exact"/>
        <w:ind w:firstLine="480"/>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标书工本费（售价）：</w:t>
      </w:r>
      <w:r>
        <w:rPr>
          <w:rFonts w:hint="eastAsia" w:ascii="仿宋" w:hAnsi="仿宋" w:eastAsia="仿宋" w:cs="仿宋"/>
          <w:color w:val="auto"/>
          <w:sz w:val="24"/>
          <w:szCs w:val="24"/>
          <w:highlight w:val="none"/>
        </w:rPr>
        <w:t>人民币</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元/</w:t>
      </w:r>
      <w:r>
        <w:rPr>
          <w:rFonts w:hint="eastAsia" w:ascii="仿宋" w:hAnsi="仿宋" w:eastAsia="仿宋" w:cs="仿宋"/>
          <w:color w:val="auto"/>
          <w:sz w:val="24"/>
          <w:szCs w:val="24"/>
          <w:highlight w:val="none"/>
          <w:lang w:val="en-US" w:eastAsia="zh-CN"/>
        </w:rPr>
        <w:t>分包</w:t>
      </w:r>
      <w:r>
        <w:rPr>
          <w:rFonts w:hint="eastAsia" w:ascii="仿宋" w:hAnsi="仿宋" w:eastAsia="仿宋" w:cs="仿宋"/>
          <w:color w:val="auto"/>
          <w:sz w:val="24"/>
          <w:szCs w:val="24"/>
          <w:highlight w:val="none"/>
        </w:rPr>
        <w:t>。招标文件获取后，工本费概不退还。</w:t>
      </w:r>
    </w:p>
    <w:p w14:paraId="7A5E91F7">
      <w:pPr>
        <w:pStyle w:val="191"/>
        <w:spacing w:before="0" w:after="0" w:line="500" w:lineRule="exact"/>
        <w:ind w:firstLine="436"/>
        <w:jc w:val="left"/>
        <w:rPr>
          <w:rFonts w:ascii="仿宋" w:hAnsi="仿宋" w:eastAsia="仿宋" w:cs="仿宋"/>
          <w:color w:val="auto"/>
          <w:sz w:val="28"/>
          <w:szCs w:val="28"/>
          <w:highlight w:val="none"/>
        </w:rPr>
      </w:pPr>
      <w:bookmarkStart w:id="61" w:name="_Toc17258"/>
      <w:bookmarkStart w:id="62" w:name="_Toc29776"/>
      <w:r>
        <w:rPr>
          <w:rFonts w:hint="eastAsia" w:ascii="仿宋" w:hAnsi="仿宋" w:eastAsia="仿宋" w:cs="仿宋"/>
          <w:color w:val="auto"/>
          <w:sz w:val="28"/>
          <w:szCs w:val="28"/>
          <w:highlight w:val="none"/>
        </w:rPr>
        <w:t>四、提交投标文件</w:t>
      </w:r>
      <w:bookmarkEnd w:id="52"/>
      <w:bookmarkEnd w:id="53"/>
      <w:r>
        <w:rPr>
          <w:rFonts w:hint="eastAsia" w:ascii="仿宋" w:hAnsi="仿宋" w:eastAsia="仿宋" w:cs="仿宋"/>
          <w:color w:val="auto"/>
          <w:sz w:val="28"/>
          <w:szCs w:val="28"/>
          <w:highlight w:val="none"/>
        </w:rPr>
        <w:t>截止时间、开标时间和地点</w:t>
      </w:r>
      <w:bookmarkEnd w:id="54"/>
      <w:bookmarkEnd w:id="55"/>
      <w:bookmarkEnd w:id="56"/>
      <w:bookmarkEnd w:id="57"/>
      <w:bookmarkEnd w:id="59"/>
      <w:bookmarkEnd w:id="61"/>
      <w:bookmarkEnd w:id="62"/>
    </w:p>
    <w:p w14:paraId="327A938C">
      <w:pPr>
        <w:spacing w:line="500" w:lineRule="exact"/>
        <w:ind w:firstLine="480"/>
        <w:rPr>
          <w:rFonts w:ascii="仿宋" w:hAnsi="仿宋" w:eastAsia="仿宋" w:cs="仿宋"/>
          <w:color w:val="auto"/>
          <w:sz w:val="24"/>
          <w:szCs w:val="24"/>
          <w:highlight w:val="none"/>
        </w:rPr>
      </w:pPr>
      <w:bookmarkStart w:id="63" w:name="_Toc35393625"/>
      <w:bookmarkStart w:id="64" w:name="_Toc28359084"/>
      <w:bookmarkStart w:id="65" w:name="_Toc28359007"/>
      <w:bookmarkStart w:id="66" w:name="_Toc35393794"/>
      <w:bookmarkStart w:id="67" w:name="_Toc38985267"/>
      <w:r>
        <w:rPr>
          <w:rFonts w:hint="eastAsia" w:ascii="仿宋" w:hAnsi="仿宋" w:eastAsia="仿宋" w:cs="仿宋"/>
          <w:color w:val="auto"/>
          <w:sz w:val="24"/>
          <w:szCs w:val="24"/>
          <w:highlight w:val="none"/>
        </w:rPr>
        <w:t>时间：202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08</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lang w:val="en-US" w:eastAsia="zh-CN"/>
        </w:rPr>
        <w:t>07</w:t>
      </w:r>
      <w:r>
        <w:rPr>
          <w:rFonts w:hint="eastAsia" w:ascii="仿宋" w:hAnsi="仿宋" w:eastAsia="仿宋" w:cs="仿宋"/>
          <w:color w:val="auto"/>
          <w:sz w:val="24"/>
          <w:szCs w:val="24"/>
          <w:highlight w:val="none"/>
          <w:lang w:eastAsia="zh-CN"/>
        </w:rPr>
        <w:t>日</w:t>
      </w:r>
      <w:r>
        <w:rPr>
          <w:rFonts w:hint="eastAsia" w:ascii="仿宋" w:hAnsi="仿宋" w:eastAsia="仿宋" w:cs="仿宋"/>
          <w:color w:val="auto"/>
          <w:sz w:val="24"/>
          <w:szCs w:val="24"/>
          <w:highlight w:val="none"/>
        </w:rPr>
        <w:t>14时30分（北京时间）</w:t>
      </w:r>
    </w:p>
    <w:p w14:paraId="2DF34323">
      <w:pPr>
        <w:spacing w:line="500" w:lineRule="exact"/>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地点：</w:t>
      </w:r>
      <w:r>
        <w:rPr>
          <w:rFonts w:hint="eastAsia" w:ascii="仿宋" w:hAnsi="仿宋" w:eastAsia="仿宋" w:cs="仿宋"/>
          <w:color w:val="auto"/>
          <w:sz w:val="24"/>
          <w:szCs w:val="24"/>
          <w:highlight w:val="none"/>
          <w:lang w:eastAsia="zh-CN"/>
        </w:rPr>
        <w:t>江苏政府采购网“苏采云”系统</w:t>
      </w:r>
    </w:p>
    <w:p w14:paraId="64C007B2">
      <w:pPr>
        <w:pStyle w:val="191"/>
        <w:spacing w:before="0" w:after="0" w:line="500" w:lineRule="exact"/>
        <w:ind w:firstLine="436"/>
        <w:jc w:val="left"/>
        <w:rPr>
          <w:rFonts w:ascii="仿宋" w:hAnsi="仿宋" w:eastAsia="仿宋" w:cs="仿宋"/>
          <w:color w:val="auto"/>
          <w:sz w:val="28"/>
          <w:szCs w:val="28"/>
          <w:highlight w:val="none"/>
        </w:rPr>
      </w:pPr>
      <w:bookmarkStart w:id="68" w:name="_Toc15625"/>
      <w:bookmarkStart w:id="69" w:name="_Toc4654"/>
      <w:bookmarkStart w:id="70" w:name="_Toc22315"/>
      <w:r>
        <w:rPr>
          <w:rFonts w:hint="eastAsia" w:ascii="仿宋" w:hAnsi="仿宋" w:eastAsia="仿宋" w:cs="仿宋"/>
          <w:color w:val="auto"/>
          <w:sz w:val="28"/>
          <w:szCs w:val="28"/>
          <w:highlight w:val="none"/>
        </w:rPr>
        <w:t>五、公告期限</w:t>
      </w:r>
      <w:bookmarkEnd w:id="63"/>
      <w:bookmarkEnd w:id="64"/>
      <w:bookmarkEnd w:id="65"/>
      <w:bookmarkEnd w:id="66"/>
      <w:bookmarkEnd w:id="67"/>
      <w:bookmarkEnd w:id="68"/>
      <w:bookmarkEnd w:id="69"/>
      <w:bookmarkEnd w:id="70"/>
    </w:p>
    <w:p w14:paraId="4D1D199D">
      <w:pPr>
        <w:tabs>
          <w:tab w:val="center" w:pos="4873"/>
        </w:tabs>
        <w:spacing w:line="500" w:lineRule="exact"/>
        <w:ind w:firstLine="480"/>
        <w:rPr>
          <w:rFonts w:ascii="仿宋" w:hAnsi="仿宋" w:eastAsia="仿宋" w:cs="仿宋"/>
          <w:color w:val="auto"/>
          <w:sz w:val="24"/>
          <w:szCs w:val="24"/>
          <w:highlight w:val="none"/>
        </w:rPr>
      </w:pPr>
      <w:bookmarkStart w:id="71" w:name="_Toc35393795"/>
      <w:bookmarkStart w:id="72" w:name="_Toc35393626"/>
      <w:bookmarkStart w:id="73" w:name="_Toc38985268"/>
      <w:r>
        <w:rPr>
          <w:rFonts w:hint="eastAsia" w:ascii="仿宋" w:hAnsi="仿宋" w:eastAsia="仿宋" w:cs="仿宋"/>
          <w:color w:val="auto"/>
          <w:sz w:val="24"/>
          <w:szCs w:val="24"/>
          <w:highlight w:val="none"/>
        </w:rPr>
        <w:t>自本公告发布之日起5个工作日。</w:t>
      </w:r>
    </w:p>
    <w:p w14:paraId="4EC30B43">
      <w:pPr>
        <w:pStyle w:val="191"/>
        <w:spacing w:before="0" w:after="0" w:line="500" w:lineRule="exact"/>
        <w:ind w:firstLine="436"/>
        <w:jc w:val="left"/>
        <w:rPr>
          <w:rFonts w:ascii="仿宋" w:hAnsi="仿宋" w:eastAsia="仿宋" w:cs="仿宋"/>
          <w:color w:val="auto"/>
          <w:sz w:val="28"/>
          <w:szCs w:val="28"/>
          <w:highlight w:val="none"/>
        </w:rPr>
      </w:pPr>
      <w:bookmarkStart w:id="74" w:name="_Toc7024"/>
      <w:bookmarkStart w:id="75" w:name="_Toc19779"/>
      <w:bookmarkStart w:id="76" w:name="_Toc21286"/>
      <w:bookmarkStart w:id="77" w:name="_Toc11996"/>
      <w:r>
        <w:rPr>
          <w:rFonts w:hint="eastAsia" w:ascii="仿宋" w:hAnsi="仿宋" w:eastAsia="仿宋" w:cs="仿宋"/>
          <w:color w:val="auto"/>
          <w:sz w:val="28"/>
          <w:szCs w:val="28"/>
          <w:highlight w:val="none"/>
        </w:rPr>
        <w:t>六、其他补充事宜</w:t>
      </w:r>
      <w:bookmarkEnd w:id="71"/>
      <w:bookmarkEnd w:id="72"/>
      <w:bookmarkEnd w:id="73"/>
      <w:bookmarkEnd w:id="74"/>
      <w:bookmarkEnd w:id="75"/>
      <w:bookmarkEnd w:id="76"/>
      <w:bookmarkEnd w:id="77"/>
    </w:p>
    <w:p w14:paraId="1DF9C19D">
      <w:pPr>
        <w:spacing w:line="500" w:lineRule="exact"/>
        <w:ind w:firstLine="480" w:firstLineChars="0"/>
        <w:rPr>
          <w:rFonts w:hint="eastAsia" w:ascii="仿宋" w:hAnsi="仿宋" w:eastAsia="仿宋" w:cs="仿宋"/>
          <w:bCs w:val="0"/>
          <w:color w:val="auto"/>
          <w:sz w:val="24"/>
          <w:szCs w:val="24"/>
          <w:highlight w:val="none"/>
        </w:rPr>
      </w:pPr>
      <w:bookmarkStart w:id="78" w:name="_Toc14169"/>
      <w:bookmarkStart w:id="79" w:name="_Toc9794"/>
      <w:bookmarkStart w:id="80" w:name="_Toc28359008"/>
      <w:bookmarkStart w:id="81" w:name="_Toc28359085"/>
      <w:bookmarkStart w:id="82" w:name="_Toc38985269"/>
      <w:bookmarkStart w:id="83" w:name="_Toc35393627"/>
      <w:bookmarkStart w:id="84" w:name="_Toc35393796"/>
      <w:r>
        <w:rPr>
          <w:rFonts w:hint="eastAsia" w:ascii="仿宋" w:hAnsi="仿宋" w:eastAsia="仿宋" w:cs="仿宋"/>
          <w:color w:val="auto"/>
          <w:sz w:val="24"/>
          <w:szCs w:val="24"/>
          <w:highlight w:val="none"/>
        </w:rPr>
        <w:t>1.</w:t>
      </w:r>
      <w:r>
        <w:rPr>
          <w:rFonts w:hint="eastAsia" w:ascii="仿宋" w:hAnsi="仿宋" w:eastAsia="仿宋" w:cs="仿宋"/>
          <w:bCs w:val="0"/>
          <w:color w:val="auto"/>
          <w:sz w:val="24"/>
          <w:szCs w:val="24"/>
          <w:highlight w:val="none"/>
        </w:rPr>
        <w:t xml:space="preserve"> 根据省财政厅《关于更换全省政府采购交易系统C A数字证书和电子签章的通知》（苏财购〔2023〕101号），</w:t>
      </w:r>
      <w:r>
        <w:rPr>
          <w:rFonts w:hint="eastAsia" w:ascii="仿宋" w:hAnsi="仿宋" w:eastAsia="仿宋" w:cs="仿宋"/>
          <w:color w:val="auto"/>
          <w:sz w:val="24"/>
          <w:szCs w:val="24"/>
          <w:highlight w:val="none"/>
        </w:rPr>
        <w:t>“苏采云”政府采购交易系统（以下简称苏采云系统）</w:t>
      </w:r>
      <w:r>
        <w:rPr>
          <w:rFonts w:hint="eastAsia" w:ascii="仿宋" w:hAnsi="仿宋" w:eastAsia="仿宋" w:cs="仿宋"/>
          <w:bCs w:val="0"/>
          <w:color w:val="auto"/>
          <w:sz w:val="24"/>
          <w:szCs w:val="24"/>
          <w:highlight w:val="none"/>
        </w:rPr>
        <w:t>的CA数字证书、电子签章已更换为江苏省电子政务证书认证中心C A和方正国际软件（北京）有限公司电子签章。如果投标人通过</w:t>
      </w:r>
      <w:r>
        <w:rPr>
          <w:rFonts w:hint="eastAsia" w:ascii="仿宋" w:hAnsi="仿宋" w:eastAsia="仿宋" w:cs="仿宋"/>
          <w:color w:val="auto"/>
          <w:sz w:val="24"/>
          <w:szCs w:val="24"/>
          <w:highlight w:val="none"/>
        </w:rPr>
        <w:t>苏采云系统</w:t>
      </w:r>
      <w:r>
        <w:rPr>
          <w:rFonts w:hint="eastAsia" w:ascii="仿宋" w:hAnsi="仿宋" w:eastAsia="仿宋" w:cs="仿宋"/>
          <w:bCs w:val="0"/>
          <w:color w:val="auto"/>
          <w:sz w:val="24"/>
          <w:szCs w:val="24"/>
          <w:highlight w:val="none"/>
        </w:rPr>
        <w:t>参与政府采购项目，需要更换CA数字证书和电子签章。具体办理指南和操作手册见链接：http://www.ccgp-jiangsu.gov.cn/jiangsu/zlxz/ee/ee3a4bc5a3454aa2b0d9312230633ce9.html。</w:t>
      </w:r>
    </w:p>
    <w:p w14:paraId="386EDC69">
      <w:pPr>
        <w:spacing w:line="500" w:lineRule="exact"/>
        <w:ind w:firstLine="480" w:firstLineChars="0"/>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p>
    <w:p w14:paraId="2541CFF7">
      <w:pPr>
        <w:spacing w:line="500" w:lineRule="exact"/>
        <w:ind w:firstLine="480" w:firstLineChars="0"/>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如果“江苏政府采购网”（www.ccgp-jiangsu.gov.cn）信息与“江苏政务服务网” （www.jszwfw.gov.cn），“一企来办”专栏下“政府采购”模块中信息不一致，以“江苏政府采购网”信息为准。</w:t>
      </w:r>
    </w:p>
    <w:p w14:paraId="7B3920C6">
      <w:pPr>
        <w:spacing w:line="500" w:lineRule="exact"/>
        <w:ind w:firstLine="480"/>
        <w:rPr>
          <w:rFonts w:ascii="仿宋" w:hAnsi="仿宋" w:eastAsia="仿宋" w:cs="仿宋"/>
          <w:color w:val="auto"/>
          <w:sz w:val="24"/>
          <w:szCs w:val="24"/>
          <w:highlight w:val="none"/>
        </w:rPr>
      </w:pPr>
      <w:r>
        <w:rPr>
          <w:rFonts w:hint="eastAsia" w:ascii="仿宋" w:hAnsi="仿宋" w:eastAsia="仿宋" w:cs="仿宋"/>
          <w:bCs w:val="0"/>
          <w:color w:val="auto"/>
          <w:sz w:val="24"/>
          <w:szCs w:val="24"/>
          <w:highlight w:val="none"/>
        </w:rPr>
        <w:t xml:space="preserve">2. </w:t>
      </w:r>
      <w:r>
        <w:rPr>
          <w:rFonts w:hint="eastAsia" w:ascii="仿宋" w:hAnsi="仿宋" w:eastAsia="仿宋" w:cs="仿宋"/>
          <w:color w:val="auto"/>
          <w:sz w:val="24"/>
          <w:szCs w:val="24"/>
          <w:highlight w:val="none"/>
        </w:rPr>
        <w:t>有关本次招标事项若存在变动或修改，敬请及时关注江苏柒采招标代理有限公司</w:t>
      </w:r>
      <w:r>
        <w:rPr>
          <w:rFonts w:hint="eastAsia" w:ascii="仿宋" w:hAnsi="仿宋" w:eastAsia="仿宋" w:cs="仿宋"/>
          <w:bCs w:val="0"/>
          <w:color w:val="auto"/>
          <w:sz w:val="24"/>
          <w:szCs w:val="24"/>
          <w:highlight w:val="none"/>
        </w:rPr>
        <w:t>在“江苏政府采购网”发布的更正公告</w:t>
      </w:r>
      <w:r>
        <w:rPr>
          <w:rFonts w:hint="eastAsia" w:ascii="仿宋" w:hAnsi="仿宋" w:eastAsia="仿宋" w:cs="仿宋"/>
          <w:color w:val="auto"/>
          <w:sz w:val="24"/>
          <w:szCs w:val="24"/>
          <w:highlight w:val="none"/>
        </w:rPr>
        <w:t>。</w:t>
      </w:r>
    </w:p>
    <w:p w14:paraId="76B43FD0">
      <w:pPr>
        <w:spacing w:line="500" w:lineRule="exact"/>
        <w:ind w:firstLine="480"/>
        <w:rPr>
          <w:rFonts w:hint="eastAsia" w:ascii="仿宋" w:hAnsi="仿宋" w:eastAsia="仿宋" w:cs="仿宋"/>
          <w:bCs w:val="0"/>
          <w:color w:val="auto"/>
          <w:sz w:val="24"/>
          <w:szCs w:val="24"/>
          <w:highlight w:val="none"/>
        </w:rPr>
      </w:pPr>
      <w:r>
        <w:rPr>
          <w:rFonts w:hint="eastAsia" w:ascii="仿宋" w:hAnsi="仿宋" w:eastAsia="仿宋" w:cs="仿宋"/>
          <w:bCs w:val="0"/>
          <w:color w:val="auto"/>
          <w:sz w:val="24"/>
          <w:szCs w:val="24"/>
          <w:highlight w:val="none"/>
        </w:rPr>
        <w:t>3. 本次招标不收取投标保证金。</w:t>
      </w:r>
    </w:p>
    <w:p w14:paraId="5FEA2E0B">
      <w:pPr>
        <w:pStyle w:val="191"/>
        <w:spacing w:before="0" w:after="0" w:line="500" w:lineRule="exact"/>
        <w:ind w:firstLine="436"/>
        <w:jc w:val="left"/>
        <w:rPr>
          <w:rFonts w:ascii="仿宋" w:hAnsi="仿宋" w:eastAsia="仿宋" w:cs="仿宋"/>
          <w:color w:val="auto"/>
          <w:sz w:val="28"/>
          <w:szCs w:val="28"/>
          <w:highlight w:val="none"/>
        </w:rPr>
      </w:pPr>
      <w:bookmarkStart w:id="85" w:name="_Toc31382"/>
      <w:bookmarkStart w:id="86" w:name="_Toc8630"/>
      <w:r>
        <w:rPr>
          <w:rFonts w:hint="eastAsia" w:ascii="仿宋" w:hAnsi="仿宋" w:eastAsia="仿宋" w:cs="仿宋"/>
          <w:color w:val="auto"/>
          <w:sz w:val="28"/>
          <w:szCs w:val="28"/>
          <w:highlight w:val="none"/>
        </w:rPr>
        <w:t>七、本次招标联系方式</w:t>
      </w:r>
      <w:bookmarkEnd w:id="78"/>
      <w:bookmarkEnd w:id="79"/>
      <w:bookmarkEnd w:id="80"/>
      <w:bookmarkEnd w:id="81"/>
      <w:bookmarkEnd w:id="82"/>
      <w:bookmarkEnd w:id="83"/>
      <w:bookmarkEnd w:id="84"/>
      <w:bookmarkEnd w:id="85"/>
      <w:bookmarkEnd w:id="86"/>
    </w:p>
    <w:p w14:paraId="23F2F120">
      <w:pPr>
        <w:widowControl/>
        <w:spacing w:line="500" w:lineRule="exact"/>
        <w:jc w:val="left"/>
        <w:rPr>
          <w:rFonts w:ascii="仿宋" w:hAnsi="仿宋" w:eastAsia="仿宋" w:cs="仿宋"/>
          <w:color w:val="auto"/>
          <w:sz w:val="24"/>
          <w:szCs w:val="24"/>
          <w:highlight w:val="none"/>
        </w:rPr>
      </w:pPr>
      <w:r>
        <w:rPr>
          <w:rFonts w:hint="eastAsia" w:ascii="仿宋" w:hAnsi="仿宋" w:eastAsia="仿宋" w:cs="仿宋"/>
          <w:color w:val="auto"/>
          <w:sz w:val="28"/>
          <w:szCs w:val="28"/>
          <w:highlight w:val="none"/>
        </w:rPr>
        <w:t>　　</w:t>
      </w:r>
      <w:r>
        <w:rPr>
          <w:rFonts w:hint="eastAsia" w:ascii="仿宋" w:hAnsi="仿宋" w:eastAsia="仿宋" w:cs="仿宋"/>
          <w:color w:val="auto"/>
          <w:sz w:val="24"/>
          <w:szCs w:val="24"/>
          <w:highlight w:val="none"/>
        </w:rPr>
        <w:t>1.采购人信息</w:t>
      </w:r>
    </w:p>
    <w:p w14:paraId="10022947">
      <w:pPr>
        <w:spacing w:line="500" w:lineRule="exact"/>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称：江苏省交通运输综合行政执法监督局</w:t>
      </w:r>
    </w:p>
    <w:p w14:paraId="29FDE8E8">
      <w:pPr>
        <w:spacing w:line="500" w:lineRule="exact"/>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址：南京市石鼓路69号交通大厦</w:t>
      </w:r>
    </w:p>
    <w:p w14:paraId="61EF7ED5">
      <w:pPr>
        <w:widowControl/>
        <w:spacing w:line="500" w:lineRule="exact"/>
        <w:ind w:firstLine="480"/>
        <w:jc w:val="left"/>
        <w:rPr>
          <w:rFonts w:hint="eastAsia" w:ascii="仿宋" w:hAnsi="仿宋" w:eastAsia="仿宋" w:cs="仿宋"/>
          <w:color w:val="auto"/>
          <w:sz w:val="24"/>
          <w:szCs w:val="24"/>
          <w:highlight w:val="none"/>
          <w:lang w:val="en-US" w:eastAsia="zh-CN"/>
        </w:rPr>
      </w:pPr>
      <w:bookmarkStart w:id="87" w:name="_Toc28359009"/>
      <w:bookmarkStart w:id="88" w:name="_Toc28359086"/>
      <w:r>
        <w:rPr>
          <w:rFonts w:hint="eastAsia" w:ascii="仿宋" w:hAnsi="仿宋" w:eastAsia="仿宋" w:cs="仿宋"/>
          <w:color w:val="auto"/>
          <w:sz w:val="24"/>
          <w:szCs w:val="24"/>
          <w:highlight w:val="none"/>
        </w:rPr>
        <w:t>联 系 人：</w:t>
      </w:r>
      <w:r>
        <w:rPr>
          <w:rFonts w:hint="eastAsia" w:ascii="仿宋" w:hAnsi="仿宋" w:eastAsia="仿宋" w:cs="仿宋"/>
          <w:color w:val="auto"/>
          <w:sz w:val="24"/>
          <w:szCs w:val="24"/>
          <w:highlight w:val="none"/>
          <w:lang w:eastAsia="zh-CN"/>
        </w:rPr>
        <w:t>王建刚</w:t>
      </w:r>
    </w:p>
    <w:p w14:paraId="122F02B6">
      <w:pPr>
        <w:widowControl/>
        <w:spacing w:line="500" w:lineRule="exact"/>
        <w:ind w:firstLine="480"/>
        <w:jc w:val="lef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联系方式：025-</w:t>
      </w:r>
      <w:r>
        <w:rPr>
          <w:rFonts w:hint="eastAsia" w:ascii="仿宋" w:hAnsi="仿宋" w:eastAsia="仿宋" w:cs="仿宋"/>
          <w:color w:val="auto"/>
          <w:sz w:val="24"/>
          <w:szCs w:val="24"/>
          <w:highlight w:val="none"/>
          <w:lang w:val="en-US" w:eastAsia="zh-CN"/>
        </w:rPr>
        <w:t>84329402</w:t>
      </w:r>
    </w:p>
    <w:p w14:paraId="76ED38F2">
      <w:pPr>
        <w:widowControl/>
        <w:spacing w:line="500" w:lineRule="exact"/>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2.招标代理信息</w:t>
      </w:r>
    </w:p>
    <w:p w14:paraId="55739FF5">
      <w:pPr>
        <w:spacing w:line="500" w:lineRule="exact"/>
        <w:ind w:firstLine="480"/>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名    称：江苏柒采招标代理有限公司</w:t>
      </w:r>
      <w:bookmarkEnd w:id="87"/>
      <w:bookmarkEnd w:id="88"/>
    </w:p>
    <w:p w14:paraId="16BB93F0">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地    址：南京市建邺区奥体大街68号（新城科技园国际研发总园）3幢6楼</w:t>
      </w:r>
    </w:p>
    <w:p w14:paraId="6445D53B">
      <w:pPr>
        <w:spacing w:line="500" w:lineRule="exact"/>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联 系 人：</w:t>
      </w:r>
      <w:r>
        <w:rPr>
          <w:rFonts w:hint="eastAsia" w:ascii="仿宋" w:hAnsi="仿宋" w:eastAsia="仿宋" w:cs="仿宋"/>
          <w:color w:val="auto"/>
          <w:sz w:val="24"/>
          <w:szCs w:val="24"/>
          <w:highlight w:val="none"/>
          <w:lang w:eastAsia="zh-CN"/>
        </w:rPr>
        <w:t>倪斌/张明立</w:t>
      </w:r>
    </w:p>
    <w:p w14:paraId="39D0582A">
      <w:pPr>
        <w:spacing w:line="500" w:lineRule="exact"/>
        <w:ind w:firstLine="48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联系方式：</w:t>
      </w:r>
      <w:bookmarkStart w:id="89" w:name="_Toc28359087"/>
      <w:bookmarkStart w:id="90" w:name="_Toc28359010"/>
      <w:r>
        <w:rPr>
          <w:rFonts w:hint="eastAsia" w:ascii="仿宋" w:hAnsi="仿宋" w:eastAsia="仿宋" w:cs="仿宋"/>
          <w:color w:val="auto"/>
          <w:sz w:val="24"/>
          <w:szCs w:val="24"/>
          <w:highlight w:val="none"/>
        </w:rPr>
        <w:t>025-833</w:t>
      </w:r>
      <w:r>
        <w:rPr>
          <w:rFonts w:hint="eastAsia" w:ascii="仿宋" w:hAnsi="仿宋" w:eastAsia="仿宋" w:cs="仿宋"/>
          <w:color w:val="auto"/>
          <w:sz w:val="24"/>
          <w:szCs w:val="24"/>
          <w:highlight w:val="none"/>
          <w:lang w:eastAsia="zh-CN"/>
        </w:rPr>
        <w:t>705</w:t>
      </w:r>
      <w:r>
        <w:rPr>
          <w:rFonts w:hint="eastAsia" w:ascii="仿宋" w:hAnsi="仿宋" w:eastAsia="仿宋" w:cs="仿宋"/>
          <w:color w:val="auto"/>
          <w:sz w:val="24"/>
          <w:szCs w:val="24"/>
          <w:highlight w:val="none"/>
        </w:rPr>
        <w:t>96-</w:t>
      </w:r>
      <w:bookmarkEnd w:id="89"/>
      <w:bookmarkEnd w:id="90"/>
      <w:r>
        <w:rPr>
          <w:rFonts w:hint="eastAsia" w:ascii="仿宋" w:hAnsi="仿宋" w:eastAsia="仿宋" w:cs="仿宋"/>
          <w:color w:val="auto"/>
          <w:sz w:val="24"/>
          <w:szCs w:val="24"/>
          <w:highlight w:val="none"/>
          <w:lang w:eastAsia="zh-CN"/>
        </w:rPr>
        <w:t>705</w:t>
      </w:r>
    </w:p>
    <w:p w14:paraId="76A2AFE0">
      <w:pPr>
        <w:pStyle w:val="191"/>
        <w:spacing w:before="0" w:after="0" w:line="500" w:lineRule="exact"/>
        <w:ind w:firstLine="436"/>
        <w:jc w:val="left"/>
        <w:rPr>
          <w:rFonts w:ascii="仿宋" w:hAnsi="仿宋" w:eastAsia="仿宋" w:cs="仿宋"/>
          <w:color w:val="auto"/>
          <w:sz w:val="28"/>
          <w:szCs w:val="28"/>
          <w:highlight w:val="none"/>
        </w:rPr>
      </w:pPr>
      <w:bookmarkStart w:id="91" w:name="_Toc5689"/>
      <w:bookmarkStart w:id="92" w:name="_Toc16654"/>
      <w:bookmarkStart w:id="93" w:name="_Toc12781"/>
      <w:bookmarkStart w:id="94" w:name="_Toc24723"/>
      <w:r>
        <w:rPr>
          <w:rFonts w:hint="eastAsia" w:ascii="仿宋" w:hAnsi="仿宋" w:eastAsia="仿宋" w:cs="仿宋"/>
          <w:color w:val="auto"/>
          <w:sz w:val="28"/>
          <w:szCs w:val="28"/>
          <w:highlight w:val="none"/>
        </w:rPr>
        <w:t>八、其他</w:t>
      </w:r>
      <w:bookmarkEnd w:id="91"/>
      <w:bookmarkEnd w:id="92"/>
      <w:bookmarkEnd w:id="93"/>
      <w:bookmarkEnd w:id="94"/>
    </w:p>
    <w:p w14:paraId="75E51740">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1.采购项目需要落实的政府采购政策：</w:t>
      </w:r>
    </w:p>
    <w:p w14:paraId="4C3E0CDB">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1.1政府采购促进中小企业发展</w:t>
      </w:r>
    </w:p>
    <w:p w14:paraId="417D501B">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1.2政府采购支持监狱企业发展</w:t>
      </w:r>
    </w:p>
    <w:p w14:paraId="193B845D">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1.3政府采购促进残疾人就业</w:t>
      </w:r>
    </w:p>
    <w:p w14:paraId="1F1637DC">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1.4政府采购鼓励采购节能环保产品</w:t>
      </w:r>
    </w:p>
    <w:p w14:paraId="009D9C5C">
      <w:pPr>
        <w:spacing w:line="50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2.请投标人在获取招标文件后，认真阅读各项内容，按照招标文件的要求详细填写和编制投标文件，进行必要的准备，并按招标文件确定的时间、地点准时参加开标活动。</w:t>
      </w:r>
    </w:p>
    <w:p w14:paraId="2F7AFBFA">
      <w:pPr>
        <w:pStyle w:val="190"/>
        <w:rPr>
          <w:rFonts w:ascii="仿宋" w:hAnsi="仿宋" w:eastAsia="仿宋" w:cs="仿宋"/>
          <w:b/>
          <w:bCs/>
          <w:color w:val="auto"/>
          <w:sz w:val="44"/>
          <w:szCs w:val="44"/>
          <w:highlight w:val="none"/>
        </w:rPr>
      </w:pPr>
      <w:r>
        <w:rPr>
          <w:rFonts w:hint="eastAsia" w:ascii="仿宋" w:hAnsi="仿宋" w:eastAsia="仿宋" w:cs="仿宋"/>
          <w:color w:val="auto"/>
          <w:sz w:val="24"/>
          <w:szCs w:val="24"/>
          <w:highlight w:val="none"/>
        </w:rPr>
        <w:br w:type="page" w:clear="all"/>
      </w:r>
      <w:bookmarkStart w:id="95" w:name="_Toc120614211"/>
      <w:bookmarkStart w:id="96" w:name="_Toc738"/>
      <w:bookmarkStart w:id="97" w:name="_Toc3617"/>
      <w:r>
        <w:rPr>
          <w:rFonts w:hint="eastAsia" w:ascii="仿宋" w:hAnsi="仿宋" w:eastAsia="仿宋" w:cs="仿宋"/>
          <w:b/>
          <w:bCs/>
          <w:color w:val="auto"/>
          <w:sz w:val="40"/>
          <w:szCs w:val="40"/>
          <w:highlight w:val="none"/>
        </w:rPr>
        <w:t xml:space="preserve">第二章  </w:t>
      </w:r>
      <w:bookmarkEnd w:id="14"/>
      <w:bookmarkEnd w:id="15"/>
      <w:bookmarkEnd w:id="16"/>
      <w:bookmarkEnd w:id="17"/>
      <w:bookmarkEnd w:id="18"/>
      <w:bookmarkEnd w:id="95"/>
      <w:bookmarkStart w:id="98" w:name="_Toc16938518"/>
      <w:bookmarkStart w:id="99" w:name="_Toc513029202"/>
      <w:bookmarkStart w:id="100" w:name="_Toc120614213"/>
      <w:bookmarkStart w:id="101" w:name="_Toc20823274"/>
      <w:r>
        <w:rPr>
          <w:rFonts w:hint="eastAsia" w:ascii="仿宋" w:hAnsi="仿宋" w:eastAsia="仿宋" w:cs="仿宋"/>
          <w:b/>
          <w:bCs/>
          <w:color w:val="auto"/>
          <w:sz w:val="40"/>
          <w:szCs w:val="40"/>
          <w:highlight w:val="none"/>
        </w:rPr>
        <w:t>投标人须知</w:t>
      </w:r>
      <w:bookmarkEnd w:id="96"/>
      <w:bookmarkEnd w:id="97"/>
      <w:bookmarkEnd w:id="98"/>
      <w:bookmarkEnd w:id="99"/>
      <w:bookmarkEnd w:id="100"/>
      <w:bookmarkEnd w:id="101"/>
    </w:p>
    <w:p w14:paraId="3849D2B5">
      <w:pPr>
        <w:widowControl/>
        <w:spacing w:before="156" w:line="360" w:lineRule="auto"/>
        <w:jc w:val="center"/>
        <w:outlineLvl w:val="1"/>
        <w:rPr>
          <w:rFonts w:ascii="仿宋" w:hAnsi="仿宋" w:eastAsia="仿宋" w:cs="仿宋"/>
          <w:b/>
          <w:bCs/>
          <w:color w:val="auto"/>
          <w:sz w:val="28"/>
          <w:szCs w:val="28"/>
          <w:highlight w:val="none"/>
        </w:rPr>
      </w:pPr>
      <w:bookmarkStart w:id="102" w:name="_Toc22634"/>
      <w:bookmarkStart w:id="103" w:name="_Toc5452"/>
      <w:bookmarkStart w:id="104" w:name="_Toc2828"/>
      <w:bookmarkStart w:id="105" w:name="_Toc26997"/>
      <w:bookmarkStart w:id="106" w:name="_Toc120614214"/>
      <w:bookmarkStart w:id="107" w:name="_Toc24056"/>
      <w:bookmarkStart w:id="108" w:name="_Toc513029203"/>
      <w:bookmarkStart w:id="109" w:name="_Toc20823275"/>
      <w:bookmarkStart w:id="110" w:name="_Toc16938519"/>
      <w:r>
        <w:rPr>
          <w:rFonts w:hint="eastAsia" w:ascii="仿宋" w:hAnsi="仿宋" w:eastAsia="仿宋" w:cs="仿宋"/>
          <w:b/>
          <w:bCs/>
          <w:color w:val="auto"/>
          <w:sz w:val="28"/>
          <w:szCs w:val="28"/>
          <w:highlight w:val="none"/>
        </w:rPr>
        <w:t>投标人须知前附表</w:t>
      </w:r>
      <w:bookmarkEnd w:id="102"/>
      <w:bookmarkEnd w:id="103"/>
      <w:bookmarkEnd w:id="104"/>
      <w:bookmarkEnd w:id="105"/>
    </w:p>
    <w:tbl>
      <w:tblPr>
        <w:tblStyle w:val="33"/>
        <w:tblW w:w="96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0"/>
        <w:gridCol w:w="2330"/>
        <w:gridCol w:w="6609"/>
      </w:tblGrid>
      <w:tr w14:paraId="7AA3FB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8" w:hRule="atLeast"/>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348AE7FF">
            <w:pPr>
              <w:spacing w:line="530" w:lineRule="exact"/>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2330" w:type="dxa"/>
            <w:tcBorders>
              <w:top w:val="single" w:color="000000" w:sz="4" w:space="0"/>
              <w:left w:val="single" w:color="000000" w:sz="4" w:space="0"/>
              <w:bottom w:val="single" w:color="000000" w:sz="4" w:space="0"/>
              <w:right w:val="single" w:color="000000" w:sz="4" w:space="0"/>
            </w:tcBorders>
            <w:vAlign w:val="center"/>
          </w:tcPr>
          <w:p w14:paraId="3E994E6A">
            <w:pPr>
              <w:spacing w:line="530" w:lineRule="exact"/>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名  称</w:t>
            </w:r>
          </w:p>
        </w:tc>
        <w:tc>
          <w:tcPr>
            <w:tcW w:w="6609" w:type="dxa"/>
            <w:tcBorders>
              <w:top w:val="single" w:color="000000" w:sz="4" w:space="0"/>
              <w:left w:val="single" w:color="000000" w:sz="4" w:space="0"/>
              <w:bottom w:val="single" w:color="000000" w:sz="4" w:space="0"/>
              <w:right w:val="single" w:color="000000" w:sz="4" w:space="0"/>
            </w:tcBorders>
            <w:vAlign w:val="center"/>
          </w:tcPr>
          <w:p w14:paraId="1B83D7AC">
            <w:pPr>
              <w:spacing w:line="530" w:lineRule="exact"/>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内  容</w:t>
            </w:r>
          </w:p>
        </w:tc>
      </w:tr>
      <w:tr w14:paraId="763EBF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52CB3F9C">
            <w:pPr>
              <w:widowControl/>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2330" w:type="dxa"/>
            <w:tcBorders>
              <w:top w:val="single" w:color="000000" w:sz="4" w:space="0"/>
              <w:left w:val="single" w:color="000000" w:sz="4" w:space="0"/>
              <w:bottom w:val="single" w:color="000000" w:sz="4" w:space="0"/>
              <w:right w:val="single" w:color="000000" w:sz="4" w:space="0"/>
            </w:tcBorders>
            <w:vAlign w:val="center"/>
          </w:tcPr>
          <w:p w14:paraId="26E16B44">
            <w:pPr>
              <w:widowControl/>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招标人</w:t>
            </w:r>
          </w:p>
        </w:tc>
        <w:tc>
          <w:tcPr>
            <w:tcW w:w="6609" w:type="dxa"/>
            <w:tcBorders>
              <w:top w:val="single" w:color="000000" w:sz="4" w:space="0"/>
              <w:left w:val="single" w:color="000000" w:sz="4" w:space="0"/>
              <w:bottom w:val="single" w:color="000000" w:sz="4" w:space="0"/>
              <w:right w:val="single" w:color="000000" w:sz="4" w:space="0"/>
            </w:tcBorders>
          </w:tcPr>
          <w:p w14:paraId="21943CBC">
            <w:pPr>
              <w:widowControl/>
              <w:spacing w:line="530" w:lineRule="exact"/>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名    称：江苏省交通运输综合行政执法监督局</w:t>
            </w:r>
          </w:p>
          <w:p w14:paraId="7B0FF795">
            <w:pPr>
              <w:widowControl/>
              <w:spacing w:line="530" w:lineRule="exact"/>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地    址：南京市石鼓路69号交通大厦</w:t>
            </w:r>
          </w:p>
          <w:p w14:paraId="45DD1DB6">
            <w:pPr>
              <w:widowControl/>
              <w:spacing w:line="530" w:lineRule="exact"/>
              <w:jc w:val="lef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联 系 人：</w:t>
            </w:r>
            <w:r>
              <w:rPr>
                <w:rFonts w:hint="eastAsia" w:ascii="仿宋" w:hAnsi="仿宋" w:eastAsia="仿宋" w:cs="仿宋"/>
                <w:color w:val="auto"/>
                <w:sz w:val="24"/>
                <w:szCs w:val="24"/>
                <w:highlight w:val="none"/>
                <w:lang w:val="en-US" w:eastAsia="zh-CN"/>
              </w:rPr>
              <w:t>王建刚</w:t>
            </w:r>
          </w:p>
          <w:p w14:paraId="663BD720">
            <w:pPr>
              <w:widowControl/>
              <w:spacing w:line="530" w:lineRule="exact"/>
              <w:jc w:val="left"/>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联系方式：</w:t>
            </w:r>
            <w:r>
              <w:rPr>
                <w:rFonts w:hint="eastAsia" w:ascii="仿宋" w:hAnsi="仿宋" w:eastAsia="仿宋" w:cs="仿宋"/>
                <w:color w:val="auto"/>
                <w:sz w:val="24"/>
                <w:szCs w:val="24"/>
                <w:highlight w:val="none"/>
              </w:rPr>
              <w:t>025-</w:t>
            </w:r>
            <w:r>
              <w:rPr>
                <w:rFonts w:hint="eastAsia" w:ascii="仿宋" w:hAnsi="仿宋" w:eastAsia="仿宋" w:cs="仿宋"/>
                <w:color w:val="auto"/>
                <w:sz w:val="24"/>
                <w:szCs w:val="24"/>
                <w:highlight w:val="none"/>
                <w:lang w:val="en-US" w:eastAsia="zh-CN"/>
              </w:rPr>
              <w:t>84329402</w:t>
            </w:r>
          </w:p>
        </w:tc>
      </w:tr>
      <w:tr w14:paraId="1D1549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02B6C39A">
            <w:pPr>
              <w:widowControl/>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2330" w:type="dxa"/>
            <w:tcBorders>
              <w:top w:val="single" w:color="000000" w:sz="4" w:space="0"/>
              <w:left w:val="single" w:color="000000" w:sz="4" w:space="0"/>
              <w:bottom w:val="single" w:color="000000" w:sz="4" w:space="0"/>
              <w:right w:val="single" w:color="000000" w:sz="4" w:space="0"/>
            </w:tcBorders>
            <w:vAlign w:val="center"/>
          </w:tcPr>
          <w:p w14:paraId="3EAC6055">
            <w:pPr>
              <w:widowControl/>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招标代理机构</w:t>
            </w:r>
          </w:p>
        </w:tc>
        <w:tc>
          <w:tcPr>
            <w:tcW w:w="6609" w:type="dxa"/>
            <w:tcBorders>
              <w:top w:val="single" w:color="000000" w:sz="4" w:space="0"/>
              <w:left w:val="single" w:color="000000" w:sz="4" w:space="0"/>
              <w:bottom w:val="single" w:color="000000" w:sz="4" w:space="0"/>
              <w:right w:val="single" w:color="000000" w:sz="4" w:space="0"/>
            </w:tcBorders>
            <w:vAlign w:val="center"/>
          </w:tcPr>
          <w:p w14:paraId="14420911">
            <w:pPr>
              <w:widowControl/>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名   称：江苏柒采招标代理有限公司</w:t>
            </w:r>
          </w:p>
          <w:p w14:paraId="4873E732">
            <w:pPr>
              <w:widowControl/>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地   址：南京市建邺区奥体大街68号（新城科技园国际研发总部园）3幢6楼</w:t>
            </w:r>
          </w:p>
          <w:p w14:paraId="76CC699D">
            <w:pPr>
              <w:widowControl/>
              <w:spacing w:line="53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联 系 人：</w:t>
            </w:r>
            <w:r>
              <w:rPr>
                <w:rFonts w:hint="eastAsia" w:ascii="仿宋" w:hAnsi="仿宋" w:eastAsia="仿宋" w:cs="仿宋"/>
                <w:color w:val="auto"/>
                <w:sz w:val="24"/>
                <w:szCs w:val="24"/>
                <w:highlight w:val="none"/>
                <w:lang w:eastAsia="zh-CN"/>
              </w:rPr>
              <w:t>倪斌/张明立</w:t>
            </w:r>
          </w:p>
          <w:p w14:paraId="4E3A1834">
            <w:pPr>
              <w:widowControl/>
              <w:spacing w:line="53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联系方式：025-833</w:t>
            </w:r>
            <w:r>
              <w:rPr>
                <w:rFonts w:hint="eastAsia" w:ascii="仿宋" w:hAnsi="仿宋" w:eastAsia="仿宋" w:cs="仿宋"/>
                <w:color w:val="auto"/>
                <w:sz w:val="24"/>
                <w:szCs w:val="24"/>
                <w:highlight w:val="none"/>
                <w:lang w:eastAsia="zh-CN"/>
              </w:rPr>
              <w:t>705</w:t>
            </w:r>
            <w:r>
              <w:rPr>
                <w:rFonts w:hint="eastAsia" w:ascii="仿宋" w:hAnsi="仿宋" w:eastAsia="仿宋" w:cs="仿宋"/>
                <w:color w:val="auto"/>
                <w:sz w:val="24"/>
                <w:szCs w:val="24"/>
                <w:highlight w:val="none"/>
              </w:rPr>
              <w:t>96-</w:t>
            </w:r>
            <w:r>
              <w:rPr>
                <w:rFonts w:hint="eastAsia" w:ascii="仿宋" w:hAnsi="仿宋" w:eastAsia="仿宋" w:cs="仿宋"/>
                <w:color w:val="auto"/>
                <w:sz w:val="24"/>
                <w:szCs w:val="24"/>
                <w:highlight w:val="none"/>
                <w:lang w:eastAsia="zh-CN"/>
              </w:rPr>
              <w:t>705</w:t>
            </w:r>
          </w:p>
        </w:tc>
      </w:tr>
      <w:tr w14:paraId="46E9B7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1FEB1D58">
            <w:pPr>
              <w:widowControl/>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2330" w:type="dxa"/>
            <w:tcBorders>
              <w:top w:val="single" w:color="000000" w:sz="4" w:space="0"/>
              <w:left w:val="single" w:color="000000" w:sz="4" w:space="0"/>
              <w:bottom w:val="single" w:color="000000" w:sz="4" w:space="0"/>
              <w:right w:val="single" w:color="000000" w:sz="4" w:space="0"/>
            </w:tcBorders>
            <w:vAlign w:val="center"/>
          </w:tcPr>
          <w:p w14:paraId="0E4051FA">
            <w:pPr>
              <w:widowControl/>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p>
        </w:tc>
        <w:tc>
          <w:tcPr>
            <w:tcW w:w="6609" w:type="dxa"/>
            <w:tcBorders>
              <w:top w:val="single" w:color="000000" w:sz="4" w:space="0"/>
              <w:left w:val="single" w:color="000000" w:sz="4" w:space="0"/>
              <w:bottom w:val="single" w:color="000000" w:sz="4" w:space="0"/>
              <w:right w:val="single" w:color="000000" w:sz="4" w:space="0"/>
            </w:tcBorders>
            <w:vAlign w:val="center"/>
          </w:tcPr>
          <w:p w14:paraId="475AFA99">
            <w:pPr>
              <w:widowControl/>
              <w:spacing w:line="53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高速公路交通情况统计调查、路网运行监测与管控辅助服务</w:t>
            </w:r>
          </w:p>
        </w:tc>
      </w:tr>
      <w:tr w14:paraId="080E99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38BE2B02">
            <w:pPr>
              <w:widowControl/>
              <w:spacing w:line="53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2330" w:type="dxa"/>
            <w:tcBorders>
              <w:top w:val="single" w:color="000000" w:sz="4" w:space="0"/>
              <w:left w:val="single" w:color="000000" w:sz="4" w:space="0"/>
              <w:bottom w:val="single" w:color="000000" w:sz="4" w:space="0"/>
              <w:right w:val="single" w:color="000000" w:sz="4" w:space="0"/>
            </w:tcBorders>
            <w:vAlign w:val="center"/>
          </w:tcPr>
          <w:p w14:paraId="3076194E">
            <w:pPr>
              <w:widowControl/>
              <w:spacing w:line="53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分包号</w:t>
            </w:r>
          </w:p>
        </w:tc>
        <w:tc>
          <w:tcPr>
            <w:tcW w:w="6609" w:type="dxa"/>
            <w:tcBorders>
              <w:top w:val="single" w:color="000000" w:sz="4" w:space="0"/>
              <w:left w:val="single" w:color="000000" w:sz="4" w:space="0"/>
              <w:bottom w:val="single" w:color="000000" w:sz="4" w:space="0"/>
              <w:right w:val="single" w:color="000000" w:sz="4" w:space="0"/>
            </w:tcBorders>
            <w:vAlign w:val="center"/>
          </w:tcPr>
          <w:p w14:paraId="75E4FF47">
            <w:pPr>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分包一：高速公路交通情况统计调查及路网运行监测；</w:t>
            </w:r>
          </w:p>
          <w:p w14:paraId="011657DD">
            <w:pPr>
              <w:widowControl/>
              <w:spacing w:line="53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分包二：长三角高速跨区域路网管控辅助服务。</w:t>
            </w:r>
          </w:p>
        </w:tc>
      </w:tr>
      <w:tr w14:paraId="063167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9" w:hRule="atLeast"/>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1D8E44C1">
            <w:pPr>
              <w:widowControl/>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2330" w:type="dxa"/>
            <w:tcBorders>
              <w:top w:val="single" w:color="000000" w:sz="4" w:space="0"/>
              <w:left w:val="single" w:color="000000" w:sz="4" w:space="0"/>
              <w:bottom w:val="single" w:color="000000" w:sz="4" w:space="0"/>
              <w:right w:val="single" w:color="000000" w:sz="4" w:space="0"/>
            </w:tcBorders>
            <w:vAlign w:val="center"/>
          </w:tcPr>
          <w:p w14:paraId="209A6D17">
            <w:pPr>
              <w:widowControl/>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项目编号</w:t>
            </w:r>
          </w:p>
        </w:tc>
        <w:tc>
          <w:tcPr>
            <w:tcW w:w="6609" w:type="dxa"/>
            <w:tcBorders>
              <w:top w:val="single" w:color="000000" w:sz="4" w:space="0"/>
              <w:left w:val="single" w:color="000000" w:sz="4" w:space="0"/>
              <w:bottom w:val="single" w:color="000000" w:sz="4" w:space="0"/>
              <w:right w:val="single" w:color="000000" w:sz="4" w:space="0"/>
            </w:tcBorders>
            <w:vAlign w:val="center"/>
          </w:tcPr>
          <w:p w14:paraId="66A47F3D">
            <w:pPr>
              <w:widowControl/>
              <w:spacing w:line="53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JSZC-320000-JSQC-G2026-0027</w:t>
            </w:r>
          </w:p>
        </w:tc>
      </w:tr>
      <w:tr w14:paraId="32BB69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atLeast"/>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656B26E0">
            <w:pPr>
              <w:widowControl/>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w:t>
            </w:r>
          </w:p>
        </w:tc>
        <w:tc>
          <w:tcPr>
            <w:tcW w:w="2330" w:type="dxa"/>
            <w:tcBorders>
              <w:top w:val="single" w:color="000000" w:sz="4" w:space="0"/>
              <w:left w:val="single" w:color="000000" w:sz="4" w:space="0"/>
              <w:bottom w:val="single" w:color="000000" w:sz="4" w:space="0"/>
              <w:right w:val="single" w:color="000000" w:sz="4" w:space="0"/>
            </w:tcBorders>
            <w:vAlign w:val="center"/>
          </w:tcPr>
          <w:p w14:paraId="6B8528B9">
            <w:pPr>
              <w:widowControl/>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预算</w:t>
            </w:r>
            <w:r>
              <w:rPr>
                <w:rFonts w:hint="eastAsia" w:ascii="仿宋" w:hAnsi="仿宋" w:eastAsia="仿宋" w:cs="仿宋"/>
                <w:color w:val="auto"/>
                <w:sz w:val="24"/>
                <w:szCs w:val="24"/>
                <w:highlight w:val="none"/>
                <w:lang w:val="en-US" w:eastAsia="zh-CN"/>
              </w:rPr>
              <w:t>总</w:t>
            </w:r>
            <w:r>
              <w:rPr>
                <w:rFonts w:hint="eastAsia" w:ascii="仿宋" w:hAnsi="仿宋" w:eastAsia="仿宋" w:cs="仿宋"/>
                <w:color w:val="auto"/>
                <w:sz w:val="24"/>
                <w:szCs w:val="24"/>
                <w:highlight w:val="none"/>
              </w:rPr>
              <w:t>金额</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（含税）</w:t>
            </w:r>
          </w:p>
        </w:tc>
        <w:tc>
          <w:tcPr>
            <w:tcW w:w="6609" w:type="dxa"/>
            <w:tcBorders>
              <w:top w:val="single" w:color="000000" w:sz="4" w:space="0"/>
              <w:left w:val="single" w:color="000000" w:sz="4" w:space="0"/>
              <w:bottom w:val="single" w:color="000000" w:sz="4" w:space="0"/>
              <w:right w:val="single" w:color="000000" w:sz="4" w:space="0"/>
            </w:tcBorders>
            <w:vAlign w:val="center"/>
          </w:tcPr>
          <w:p w14:paraId="312993A3">
            <w:pPr>
              <w:widowControl/>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人民币</w:t>
            </w:r>
            <w:r>
              <w:rPr>
                <w:rFonts w:hint="eastAsia" w:ascii="仿宋" w:hAnsi="仿宋" w:eastAsia="仿宋" w:cs="仿宋"/>
                <w:b/>
                <w:bCs/>
                <w:color w:val="auto"/>
                <w:sz w:val="24"/>
                <w:szCs w:val="24"/>
                <w:highlight w:val="none"/>
                <w:u w:val="single"/>
                <w:lang w:val="en-US" w:eastAsia="zh-CN"/>
              </w:rPr>
              <w:t>壹佰贰拾陆万元</w:t>
            </w:r>
            <w:r>
              <w:rPr>
                <w:rFonts w:hint="eastAsia" w:ascii="仿宋" w:hAnsi="仿宋" w:eastAsia="仿宋" w:cs="仿宋"/>
                <w:color w:val="auto"/>
                <w:sz w:val="24"/>
                <w:szCs w:val="24"/>
                <w:highlight w:val="none"/>
              </w:rPr>
              <w:t>整（¥</w:t>
            </w:r>
            <w:r>
              <w:rPr>
                <w:rFonts w:hint="eastAsia" w:ascii="仿宋" w:hAnsi="仿宋" w:eastAsia="仿宋" w:cs="仿宋"/>
                <w:color w:val="auto"/>
                <w:sz w:val="24"/>
                <w:szCs w:val="24"/>
                <w:highlight w:val="none"/>
                <w:lang w:val="en-US" w:eastAsia="zh-CN"/>
              </w:rPr>
              <w:t>1,260</w:t>
            </w:r>
            <w:r>
              <w:rPr>
                <w:rFonts w:hint="eastAsia" w:ascii="仿宋" w:hAnsi="仿宋" w:eastAsia="仿宋" w:cs="仿宋"/>
                <w:color w:val="auto"/>
                <w:sz w:val="24"/>
                <w:szCs w:val="24"/>
                <w:highlight w:val="none"/>
              </w:rPr>
              <w:t>,000.00）</w:t>
            </w:r>
          </w:p>
        </w:tc>
      </w:tr>
      <w:tr w14:paraId="16C10B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atLeast"/>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3F8EFBA8">
            <w:pPr>
              <w:widowControl/>
              <w:spacing w:line="53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w:t>
            </w:r>
          </w:p>
        </w:tc>
        <w:tc>
          <w:tcPr>
            <w:tcW w:w="2330" w:type="dxa"/>
            <w:tcBorders>
              <w:top w:val="single" w:color="000000" w:sz="4" w:space="0"/>
              <w:left w:val="single" w:color="000000" w:sz="4" w:space="0"/>
              <w:bottom w:val="single" w:color="000000" w:sz="4" w:space="0"/>
              <w:right w:val="single" w:color="000000" w:sz="4" w:space="0"/>
            </w:tcBorders>
            <w:vAlign w:val="center"/>
          </w:tcPr>
          <w:p w14:paraId="7139A1C2">
            <w:pPr>
              <w:widowControl/>
              <w:spacing w:line="53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分包预算（含税）</w:t>
            </w:r>
          </w:p>
        </w:tc>
        <w:tc>
          <w:tcPr>
            <w:tcW w:w="6609" w:type="dxa"/>
            <w:tcBorders>
              <w:top w:val="single" w:color="000000" w:sz="4" w:space="0"/>
              <w:left w:val="single" w:color="000000" w:sz="4" w:space="0"/>
              <w:bottom w:val="single" w:color="000000" w:sz="4" w:space="0"/>
              <w:right w:val="single" w:color="000000" w:sz="4" w:space="0"/>
            </w:tcBorders>
            <w:vAlign w:val="center"/>
          </w:tcPr>
          <w:p w14:paraId="79C43AC2">
            <w:pPr>
              <w:widowControl/>
              <w:spacing w:line="53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分包一：高速公路交通情况统计调查及路网运行监测，预算金额为人民币76万元；</w:t>
            </w:r>
          </w:p>
          <w:p w14:paraId="633B6080">
            <w:pPr>
              <w:widowControl/>
              <w:spacing w:line="53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分包二：长三角高速跨区域路网管控辅助服务，预算金额为人民币50万元。</w:t>
            </w:r>
          </w:p>
        </w:tc>
      </w:tr>
      <w:tr w14:paraId="243187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atLeast"/>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05261658">
            <w:pPr>
              <w:widowControl/>
              <w:spacing w:line="53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8</w:t>
            </w:r>
          </w:p>
        </w:tc>
        <w:tc>
          <w:tcPr>
            <w:tcW w:w="2330" w:type="dxa"/>
            <w:tcBorders>
              <w:top w:val="single" w:color="000000" w:sz="4" w:space="0"/>
              <w:left w:val="single" w:color="000000" w:sz="4" w:space="0"/>
              <w:bottom w:val="single" w:color="000000" w:sz="4" w:space="0"/>
              <w:right w:val="single" w:color="000000" w:sz="4" w:space="0"/>
            </w:tcBorders>
            <w:vAlign w:val="center"/>
          </w:tcPr>
          <w:p w14:paraId="0C4E2986">
            <w:pPr>
              <w:widowControl/>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最高</w:t>
            </w:r>
            <w:r>
              <w:rPr>
                <w:rFonts w:hint="eastAsia" w:ascii="仿宋" w:hAnsi="仿宋" w:eastAsia="仿宋" w:cs="仿宋"/>
                <w:color w:val="auto"/>
                <w:sz w:val="24"/>
                <w:szCs w:val="24"/>
                <w:highlight w:val="none"/>
                <w:lang w:val="en-US" w:eastAsia="zh-CN"/>
              </w:rPr>
              <w:t>总</w:t>
            </w:r>
            <w:r>
              <w:rPr>
                <w:rFonts w:hint="eastAsia" w:ascii="仿宋" w:hAnsi="仿宋" w:eastAsia="仿宋" w:cs="仿宋"/>
                <w:color w:val="auto"/>
                <w:sz w:val="24"/>
                <w:szCs w:val="24"/>
                <w:highlight w:val="none"/>
              </w:rPr>
              <w:t>限价</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（含税）</w:t>
            </w:r>
          </w:p>
        </w:tc>
        <w:tc>
          <w:tcPr>
            <w:tcW w:w="6609" w:type="dxa"/>
            <w:tcBorders>
              <w:top w:val="single" w:color="000000" w:sz="4" w:space="0"/>
              <w:left w:val="single" w:color="000000" w:sz="4" w:space="0"/>
              <w:bottom w:val="single" w:color="000000" w:sz="4" w:space="0"/>
              <w:right w:val="single" w:color="000000" w:sz="4" w:space="0"/>
            </w:tcBorders>
            <w:vAlign w:val="center"/>
          </w:tcPr>
          <w:p w14:paraId="57A44AAA">
            <w:pPr>
              <w:widowControl/>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人民币</w:t>
            </w:r>
            <w:r>
              <w:rPr>
                <w:rFonts w:hint="eastAsia" w:ascii="仿宋" w:hAnsi="仿宋" w:eastAsia="仿宋" w:cs="仿宋"/>
                <w:b/>
                <w:bCs/>
                <w:color w:val="auto"/>
                <w:sz w:val="24"/>
                <w:szCs w:val="24"/>
                <w:highlight w:val="none"/>
                <w:u w:val="single"/>
                <w:lang w:val="en-US" w:eastAsia="zh-CN"/>
              </w:rPr>
              <w:t>壹佰贰拾陆万元</w:t>
            </w:r>
            <w:r>
              <w:rPr>
                <w:rFonts w:hint="eastAsia" w:ascii="仿宋" w:hAnsi="仿宋" w:eastAsia="仿宋" w:cs="仿宋"/>
                <w:color w:val="auto"/>
                <w:sz w:val="24"/>
                <w:szCs w:val="24"/>
                <w:highlight w:val="none"/>
              </w:rPr>
              <w:t>整（¥</w:t>
            </w:r>
            <w:r>
              <w:rPr>
                <w:rFonts w:hint="eastAsia" w:ascii="仿宋" w:hAnsi="仿宋" w:eastAsia="仿宋" w:cs="仿宋"/>
                <w:color w:val="auto"/>
                <w:sz w:val="24"/>
                <w:szCs w:val="24"/>
                <w:highlight w:val="none"/>
                <w:lang w:val="en-US" w:eastAsia="zh-CN"/>
              </w:rPr>
              <w:t>1,260</w:t>
            </w:r>
            <w:r>
              <w:rPr>
                <w:rFonts w:hint="eastAsia" w:ascii="仿宋" w:hAnsi="仿宋" w:eastAsia="仿宋" w:cs="仿宋"/>
                <w:color w:val="auto"/>
                <w:sz w:val="24"/>
                <w:szCs w:val="24"/>
                <w:highlight w:val="none"/>
              </w:rPr>
              <w:t>,000.00）</w:t>
            </w:r>
          </w:p>
        </w:tc>
      </w:tr>
      <w:tr w14:paraId="79ABAF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atLeast"/>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50E8CB6E">
            <w:pPr>
              <w:widowControl/>
              <w:spacing w:line="53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w:t>
            </w:r>
          </w:p>
        </w:tc>
        <w:tc>
          <w:tcPr>
            <w:tcW w:w="2330" w:type="dxa"/>
            <w:tcBorders>
              <w:top w:val="single" w:color="000000" w:sz="4" w:space="0"/>
              <w:left w:val="single" w:color="000000" w:sz="4" w:space="0"/>
              <w:bottom w:val="single" w:color="000000" w:sz="4" w:space="0"/>
              <w:right w:val="single" w:color="000000" w:sz="4" w:space="0"/>
            </w:tcBorders>
            <w:vAlign w:val="center"/>
          </w:tcPr>
          <w:p w14:paraId="24EEBEC5">
            <w:pPr>
              <w:widowControl/>
              <w:spacing w:line="53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分包限价（含税）</w:t>
            </w:r>
          </w:p>
        </w:tc>
        <w:tc>
          <w:tcPr>
            <w:tcW w:w="6609" w:type="dxa"/>
            <w:tcBorders>
              <w:top w:val="single" w:color="000000" w:sz="4" w:space="0"/>
              <w:left w:val="single" w:color="000000" w:sz="4" w:space="0"/>
              <w:bottom w:val="single" w:color="000000" w:sz="4" w:space="0"/>
              <w:right w:val="single" w:color="000000" w:sz="4" w:space="0"/>
            </w:tcBorders>
            <w:vAlign w:val="center"/>
          </w:tcPr>
          <w:p w14:paraId="5210BFF5">
            <w:pPr>
              <w:widowControl/>
              <w:spacing w:line="53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分包一：高速公路交通情况统计调查及路网运行监测，最高限价为人民币76万元；</w:t>
            </w:r>
          </w:p>
          <w:p w14:paraId="270423B0">
            <w:pPr>
              <w:widowControl/>
              <w:spacing w:line="53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分包二：长三角高速跨区域路网管控辅助服务，最高限价为人民币50万元。</w:t>
            </w:r>
          </w:p>
        </w:tc>
      </w:tr>
      <w:tr w14:paraId="06DD4B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0" w:hRule="atLeast"/>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630C90E4">
            <w:pPr>
              <w:widowControl/>
              <w:spacing w:line="53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c>
          <w:tcPr>
            <w:tcW w:w="2330" w:type="dxa"/>
            <w:tcBorders>
              <w:top w:val="single" w:color="000000" w:sz="4" w:space="0"/>
              <w:left w:val="single" w:color="000000" w:sz="4" w:space="0"/>
              <w:bottom w:val="single" w:color="000000" w:sz="4" w:space="0"/>
              <w:right w:val="single" w:color="000000" w:sz="4" w:space="0"/>
            </w:tcBorders>
            <w:vAlign w:val="center"/>
          </w:tcPr>
          <w:p w14:paraId="2A87DC55">
            <w:pPr>
              <w:widowControl/>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项目实施地点</w:t>
            </w:r>
          </w:p>
        </w:tc>
        <w:tc>
          <w:tcPr>
            <w:tcW w:w="6609" w:type="dxa"/>
            <w:tcBorders>
              <w:top w:val="single" w:color="000000" w:sz="4" w:space="0"/>
              <w:left w:val="single" w:color="000000" w:sz="4" w:space="0"/>
              <w:bottom w:val="single" w:color="000000" w:sz="4" w:space="0"/>
              <w:right w:val="single" w:color="000000" w:sz="4" w:space="0"/>
            </w:tcBorders>
            <w:vAlign w:val="center"/>
          </w:tcPr>
          <w:p w14:paraId="685C5839">
            <w:pPr>
              <w:widowControl/>
              <w:spacing w:line="530" w:lineRule="exact"/>
              <w:rPr>
                <w:rFonts w:ascii="仿宋" w:hAnsi="仿宋" w:eastAsia="仿宋" w:cs="仿宋"/>
                <w:b/>
                <w:color w:val="auto"/>
                <w:sz w:val="24"/>
                <w:szCs w:val="24"/>
                <w:highlight w:val="none"/>
              </w:rPr>
            </w:pPr>
            <w:r>
              <w:rPr>
                <w:rFonts w:hint="eastAsia" w:ascii="仿宋" w:hAnsi="仿宋" w:eastAsia="仿宋" w:cs="仿宋"/>
                <w:color w:val="auto"/>
                <w:sz w:val="24"/>
                <w:szCs w:val="24"/>
                <w:highlight w:val="none"/>
              </w:rPr>
              <w:t>江苏省。</w:t>
            </w:r>
          </w:p>
        </w:tc>
      </w:tr>
      <w:tr w14:paraId="6138F3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32DC05B1">
            <w:pPr>
              <w:widowControl/>
              <w:spacing w:line="53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w:t>
            </w:r>
          </w:p>
        </w:tc>
        <w:tc>
          <w:tcPr>
            <w:tcW w:w="2330" w:type="dxa"/>
            <w:tcBorders>
              <w:top w:val="single" w:color="000000" w:sz="4" w:space="0"/>
              <w:left w:val="single" w:color="000000" w:sz="4" w:space="0"/>
              <w:bottom w:val="single" w:color="000000" w:sz="4" w:space="0"/>
              <w:right w:val="single" w:color="000000" w:sz="4" w:space="0"/>
            </w:tcBorders>
            <w:vAlign w:val="center"/>
          </w:tcPr>
          <w:p w14:paraId="3FE23EC4">
            <w:pPr>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现场勘查/集中答疑</w:t>
            </w:r>
          </w:p>
        </w:tc>
        <w:tc>
          <w:tcPr>
            <w:tcW w:w="6609" w:type="dxa"/>
            <w:tcBorders>
              <w:top w:val="single" w:color="000000" w:sz="4" w:space="0"/>
              <w:left w:val="single" w:color="000000" w:sz="4" w:space="0"/>
              <w:bottom w:val="single" w:color="000000" w:sz="4" w:space="0"/>
              <w:right w:val="single" w:color="000000" w:sz="4" w:space="0"/>
            </w:tcBorders>
            <w:vAlign w:val="center"/>
          </w:tcPr>
          <w:p w14:paraId="557EC23E">
            <w:pPr>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w:t>
            </w:r>
            <w:r>
              <w:rPr>
                <w:rFonts w:hint="eastAsia" w:ascii="仿宋" w:hAnsi="仿宋" w:eastAsia="仿宋" w:cs="仿宋"/>
                <w:b/>
                <w:color w:val="auto"/>
                <w:sz w:val="24"/>
                <w:szCs w:val="24"/>
                <w:highlight w:val="none"/>
                <w:u w:val="single"/>
              </w:rPr>
              <w:t>不安排</w:t>
            </w:r>
            <w:r>
              <w:rPr>
                <w:rFonts w:hint="eastAsia" w:ascii="仿宋" w:hAnsi="仿宋" w:eastAsia="仿宋" w:cs="仿宋"/>
                <w:bCs/>
                <w:color w:val="auto"/>
                <w:sz w:val="24"/>
                <w:szCs w:val="24"/>
                <w:highlight w:val="none"/>
              </w:rPr>
              <w:t>现场勘查/</w:t>
            </w:r>
            <w:r>
              <w:rPr>
                <w:rFonts w:hint="eastAsia" w:ascii="仿宋" w:hAnsi="仿宋" w:eastAsia="仿宋" w:cs="仿宋"/>
                <w:color w:val="auto"/>
                <w:sz w:val="24"/>
                <w:szCs w:val="24"/>
                <w:highlight w:val="none"/>
              </w:rPr>
              <w:t>集中答疑。</w:t>
            </w:r>
          </w:p>
          <w:p w14:paraId="28C5599B">
            <w:pPr>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我司对投标文件进行的答疑、澄清或补充，将会以邮件的方式发送给投标人报名时预留的电子邮箱；更正公告将在</w:t>
            </w:r>
            <w:r>
              <w:rPr>
                <w:rFonts w:hint="eastAsia" w:ascii="仿宋" w:hAnsi="仿宋" w:eastAsia="仿宋" w:cs="仿宋"/>
                <w:color w:val="auto"/>
                <w:sz w:val="24"/>
                <w:szCs w:val="24"/>
                <w:highlight w:val="none"/>
                <w:lang w:eastAsia="zh-CN"/>
              </w:rPr>
              <w:t>“江苏政府采购网‘苏采云’系统”</w:t>
            </w:r>
            <w:r>
              <w:rPr>
                <w:rFonts w:hint="eastAsia" w:ascii="仿宋" w:hAnsi="仿宋" w:eastAsia="仿宋" w:cs="仿宋"/>
                <w:color w:val="auto"/>
                <w:sz w:val="24"/>
                <w:szCs w:val="24"/>
                <w:highlight w:val="none"/>
              </w:rPr>
              <w:t>及时发布。该公告或澄清、补充、答疑等内容为投标文件的组成部分，对投标人具有同样约束力。投标人应主动接收邮件或上网查询，且采购人及采购代理机构不承担投标人未及时关注相关信息而引发的相关责任。</w:t>
            </w:r>
          </w:p>
        </w:tc>
      </w:tr>
      <w:tr w14:paraId="653B69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757F49ED">
            <w:pPr>
              <w:widowControl/>
              <w:spacing w:line="53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12</w:t>
            </w:r>
          </w:p>
        </w:tc>
        <w:tc>
          <w:tcPr>
            <w:tcW w:w="2330" w:type="dxa"/>
            <w:tcBorders>
              <w:top w:val="single" w:color="000000" w:sz="4" w:space="0"/>
              <w:left w:val="single" w:color="000000" w:sz="4" w:space="0"/>
              <w:bottom w:val="single" w:color="000000" w:sz="4" w:space="0"/>
              <w:right w:val="single" w:color="000000" w:sz="4" w:space="0"/>
            </w:tcBorders>
            <w:vAlign w:val="center"/>
          </w:tcPr>
          <w:p w14:paraId="040BC22F">
            <w:pPr>
              <w:widowControl/>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投标保证金</w:t>
            </w:r>
          </w:p>
        </w:tc>
        <w:tc>
          <w:tcPr>
            <w:tcW w:w="6609" w:type="dxa"/>
            <w:tcBorders>
              <w:top w:val="single" w:color="000000" w:sz="4" w:space="0"/>
              <w:left w:val="single" w:color="000000" w:sz="4" w:space="0"/>
              <w:bottom w:val="single" w:color="000000" w:sz="4" w:space="0"/>
              <w:right w:val="single" w:color="000000" w:sz="4" w:space="0"/>
            </w:tcBorders>
            <w:vAlign w:val="center"/>
          </w:tcPr>
          <w:p w14:paraId="5E0A6F65">
            <w:pPr>
              <w:widowControl/>
              <w:spacing w:line="530" w:lineRule="exact"/>
              <w:rPr>
                <w:rFonts w:ascii="仿宋" w:hAnsi="仿宋" w:eastAsia="仿宋" w:cs="仿宋"/>
                <w:b/>
                <w:bCs/>
                <w:color w:val="auto"/>
                <w:sz w:val="24"/>
                <w:szCs w:val="24"/>
                <w:highlight w:val="none"/>
              </w:rPr>
            </w:pPr>
            <w:r>
              <w:rPr>
                <w:rFonts w:ascii="Wingdings 2" w:hAnsi="Wingdings 2" w:eastAsia="Wingdings 2" w:cs="Wingdings 2"/>
                <w:b/>
                <w:bCs/>
                <w:color w:val="auto"/>
                <w:sz w:val="24"/>
                <w:szCs w:val="24"/>
                <w:highlight w:val="none"/>
              </w:rPr>
              <w:t></w:t>
            </w:r>
            <w:r>
              <w:rPr>
                <w:rFonts w:hint="eastAsia" w:ascii="仿宋" w:hAnsi="仿宋" w:eastAsia="仿宋" w:cs="仿宋"/>
                <w:b/>
                <w:bCs/>
                <w:color w:val="auto"/>
                <w:sz w:val="24"/>
                <w:szCs w:val="24"/>
                <w:highlight w:val="none"/>
              </w:rPr>
              <w:t>不要求提供。</w:t>
            </w:r>
          </w:p>
          <w:p w14:paraId="6B275555">
            <w:pPr>
              <w:widowControl/>
              <w:spacing w:line="530" w:lineRule="exact"/>
              <w:rPr>
                <w:rFonts w:ascii="仿宋" w:hAnsi="仿宋" w:eastAsia="仿宋" w:cs="仿宋"/>
                <w:color w:val="auto"/>
                <w:sz w:val="24"/>
                <w:szCs w:val="24"/>
                <w:highlight w:val="none"/>
              </w:rPr>
            </w:pPr>
            <w:r>
              <w:rPr>
                <w:rFonts w:ascii="Wingdings 2" w:hAnsi="Wingdings 2" w:eastAsia="Wingdings 2" w:cs="Wingdings 2"/>
                <w:color w:val="auto"/>
                <w:sz w:val="24"/>
                <w:szCs w:val="24"/>
                <w:highlight w:val="none"/>
              </w:rPr>
              <w:t></w:t>
            </w:r>
            <w:r>
              <w:rPr>
                <w:rFonts w:hint="eastAsia" w:ascii="仿宋" w:hAnsi="仿宋" w:eastAsia="仿宋" w:cs="仿宋"/>
                <w:color w:val="auto"/>
                <w:sz w:val="24"/>
                <w:szCs w:val="24"/>
                <w:highlight w:val="none"/>
              </w:rPr>
              <w:t>要求提供。数额不得超过采购项目预算金额的2%，本项目的投标保证金为人民币______元，提交方式为______。</w:t>
            </w:r>
          </w:p>
          <w:p w14:paraId="3878508D">
            <w:pPr>
              <w:widowControl/>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收款人户名：</w:t>
            </w:r>
          </w:p>
          <w:p w14:paraId="03EBCAE5">
            <w:pPr>
              <w:widowControl/>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开户银行：</w:t>
            </w:r>
          </w:p>
          <w:p w14:paraId="615A12E8">
            <w:pPr>
              <w:widowControl/>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银行账号：</w:t>
            </w:r>
          </w:p>
          <w:p w14:paraId="40C65BEA">
            <w:pPr>
              <w:widowControl/>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注：以电汇方式递交投标保证金须在电汇凭据附言栏中写明项目编号、分包号及用途（投标保证金）。</w:t>
            </w:r>
          </w:p>
        </w:tc>
      </w:tr>
      <w:tr w14:paraId="1925CB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39C1CD1E">
            <w:pPr>
              <w:widowControl/>
              <w:spacing w:line="53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w:t>
            </w:r>
          </w:p>
        </w:tc>
        <w:tc>
          <w:tcPr>
            <w:tcW w:w="2330" w:type="dxa"/>
            <w:tcBorders>
              <w:top w:val="single" w:color="000000" w:sz="4" w:space="0"/>
              <w:left w:val="single" w:color="000000" w:sz="4" w:space="0"/>
              <w:bottom w:val="single" w:color="000000" w:sz="4" w:space="0"/>
              <w:right w:val="single" w:color="000000" w:sz="4" w:space="0"/>
            </w:tcBorders>
            <w:vAlign w:val="center"/>
          </w:tcPr>
          <w:p w14:paraId="3BE52966">
            <w:pPr>
              <w:spacing w:line="53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投标文件接收</w:t>
            </w:r>
            <w:r>
              <w:rPr>
                <w:rFonts w:hint="eastAsia" w:ascii="仿宋" w:hAnsi="仿宋" w:eastAsia="仿宋" w:cs="仿宋"/>
                <w:color w:val="auto"/>
                <w:sz w:val="24"/>
                <w:szCs w:val="24"/>
                <w:highlight w:val="none"/>
                <w:lang w:val="en-US" w:eastAsia="zh-CN"/>
              </w:rPr>
              <w:t>截止</w:t>
            </w:r>
            <w:r>
              <w:rPr>
                <w:rFonts w:hint="eastAsia" w:ascii="仿宋" w:hAnsi="仿宋" w:eastAsia="仿宋" w:cs="仿宋"/>
                <w:color w:val="auto"/>
                <w:sz w:val="24"/>
                <w:szCs w:val="24"/>
                <w:highlight w:val="none"/>
              </w:rPr>
              <w:t>时间</w:t>
            </w:r>
            <w:r>
              <w:rPr>
                <w:rFonts w:hint="eastAsia" w:ascii="仿宋" w:hAnsi="仿宋" w:eastAsia="仿宋" w:cs="仿宋"/>
                <w:color w:val="auto"/>
                <w:sz w:val="24"/>
                <w:szCs w:val="24"/>
                <w:highlight w:val="none"/>
                <w:lang w:val="en-US" w:eastAsia="zh-CN"/>
              </w:rPr>
              <w:t>及地点</w:t>
            </w:r>
          </w:p>
        </w:tc>
        <w:tc>
          <w:tcPr>
            <w:tcW w:w="6609" w:type="dxa"/>
            <w:tcBorders>
              <w:top w:val="single" w:color="000000" w:sz="4" w:space="0"/>
              <w:left w:val="single" w:color="000000" w:sz="4" w:space="0"/>
              <w:bottom w:val="single" w:color="000000" w:sz="4" w:space="0"/>
              <w:right w:val="single" w:color="000000" w:sz="4" w:space="0"/>
            </w:tcBorders>
            <w:vAlign w:val="center"/>
          </w:tcPr>
          <w:p w14:paraId="0B311A33">
            <w:pPr>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截止</w:t>
            </w:r>
            <w:r>
              <w:rPr>
                <w:rFonts w:hint="eastAsia" w:ascii="仿宋" w:hAnsi="仿宋" w:eastAsia="仿宋" w:cs="仿宋"/>
                <w:color w:val="auto"/>
                <w:sz w:val="24"/>
                <w:szCs w:val="24"/>
                <w:highlight w:val="none"/>
              </w:rPr>
              <w:t>时间：202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08</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lang w:val="en-US" w:eastAsia="zh-CN"/>
              </w:rPr>
              <w:t>07</w:t>
            </w:r>
            <w:r>
              <w:rPr>
                <w:rFonts w:hint="eastAsia" w:ascii="仿宋" w:hAnsi="仿宋" w:eastAsia="仿宋" w:cs="仿宋"/>
                <w:color w:val="auto"/>
                <w:sz w:val="24"/>
                <w:szCs w:val="24"/>
                <w:highlight w:val="none"/>
                <w:lang w:eastAsia="zh-CN"/>
              </w:rPr>
              <w:t>日</w:t>
            </w:r>
            <w:r>
              <w:rPr>
                <w:rFonts w:hint="eastAsia" w:ascii="仿宋" w:hAnsi="仿宋" w:eastAsia="仿宋" w:cs="仿宋"/>
                <w:color w:val="auto"/>
                <w:sz w:val="24"/>
                <w:szCs w:val="24"/>
                <w:highlight w:val="none"/>
                <w:lang w:val="en-US" w:eastAsia="zh-CN"/>
              </w:rPr>
              <w:t>14</w:t>
            </w:r>
            <w:r>
              <w:rPr>
                <w:rFonts w:hint="eastAsia" w:ascii="仿宋" w:hAnsi="仿宋" w:eastAsia="仿宋" w:cs="仿宋"/>
                <w:color w:val="auto"/>
                <w:sz w:val="24"/>
                <w:szCs w:val="24"/>
                <w:highlight w:val="none"/>
              </w:rPr>
              <w:t>:30</w:t>
            </w:r>
          </w:p>
          <w:p w14:paraId="0273C1E0">
            <w:pPr>
              <w:spacing w:line="53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接收地点：</w:t>
            </w:r>
            <w:r>
              <w:rPr>
                <w:rFonts w:hint="eastAsia" w:ascii="仿宋" w:hAnsi="仿宋" w:eastAsia="仿宋" w:cs="仿宋"/>
                <w:color w:val="auto"/>
                <w:sz w:val="24"/>
                <w:szCs w:val="24"/>
                <w:highlight w:val="none"/>
                <w:lang w:eastAsia="zh-CN"/>
              </w:rPr>
              <w:t>江苏政府采购网“苏采云”系统</w:t>
            </w:r>
          </w:p>
        </w:tc>
      </w:tr>
      <w:tr w14:paraId="4FA335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61AE8D0E">
            <w:pPr>
              <w:widowControl/>
              <w:spacing w:line="53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14</w:t>
            </w:r>
          </w:p>
        </w:tc>
        <w:tc>
          <w:tcPr>
            <w:tcW w:w="2330" w:type="dxa"/>
            <w:tcBorders>
              <w:top w:val="single" w:color="000000" w:sz="4" w:space="0"/>
              <w:left w:val="single" w:color="000000" w:sz="4" w:space="0"/>
              <w:bottom w:val="single" w:color="000000" w:sz="4" w:space="0"/>
              <w:right w:val="single" w:color="000000" w:sz="4" w:space="0"/>
            </w:tcBorders>
            <w:vAlign w:val="center"/>
          </w:tcPr>
          <w:p w14:paraId="287A7302">
            <w:pPr>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投标文件启封时间</w:t>
            </w:r>
          </w:p>
        </w:tc>
        <w:tc>
          <w:tcPr>
            <w:tcW w:w="6609" w:type="dxa"/>
            <w:tcBorders>
              <w:top w:val="single" w:color="000000" w:sz="4" w:space="0"/>
              <w:left w:val="single" w:color="000000" w:sz="4" w:space="0"/>
              <w:bottom w:val="single" w:color="000000" w:sz="4" w:space="0"/>
              <w:right w:val="single" w:color="000000" w:sz="4" w:space="0"/>
            </w:tcBorders>
            <w:vAlign w:val="center"/>
          </w:tcPr>
          <w:p w14:paraId="3B0F867E">
            <w:pPr>
              <w:tabs>
                <w:tab w:val="center" w:pos="3432"/>
              </w:tabs>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时间：202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08</w:t>
            </w:r>
            <w:r>
              <w:rPr>
                <w:rFonts w:hint="eastAsia" w:ascii="仿宋" w:hAnsi="仿宋" w:eastAsia="仿宋" w:cs="仿宋"/>
                <w:color w:val="auto"/>
                <w:sz w:val="24"/>
                <w:szCs w:val="24"/>
                <w:highlight w:val="none"/>
                <w:lang w:eastAsia="zh-CN"/>
              </w:rPr>
              <w:t>月</w:t>
            </w:r>
            <w:r>
              <w:rPr>
                <w:rFonts w:hint="eastAsia" w:ascii="仿宋" w:hAnsi="仿宋" w:eastAsia="仿宋" w:cs="仿宋"/>
                <w:color w:val="auto"/>
                <w:sz w:val="24"/>
                <w:szCs w:val="24"/>
                <w:highlight w:val="none"/>
                <w:lang w:val="en-US" w:eastAsia="zh-CN"/>
              </w:rPr>
              <w:t>07</w:t>
            </w:r>
            <w:r>
              <w:rPr>
                <w:rFonts w:hint="eastAsia" w:ascii="仿宋" w:hAnsi="仿宋" w:eastAsia="仿宋" w:cs="仿宋"/>
                <w:color w:val="auto"/>
                <w:sz w:val="24"/>
                <w:szCs w:val="24"/>
                <w:highlight w:val="none"/>
                <w:lang w:eastAsia="zh-CN"/>
              </w:rPr>
              <w:t>日</w:t>
            </w:r>
            <w:r>
              <w:rPr>
                <w:rFonts w:hint="eastAsia" w:ascii="仿宋" w:hAnsi="仿宋" w:eastAsia="仿宋" w:cs="仿宋"/>
                <w:color w:val="auto"/>
                <w:sz w:val="24"/>
                <w:szCs w:val="24"/>
                <w:highlight w:val="none"/>
                <w:lang w:val="en-US" w:eastAsia="zh-CN"/>
              </w:rPr>
              <w:t>14</w:t>
            </w:r>
            <w:r>
              <w:rPr>
                <w:rFonts w:hint="eastAsia" w:ascii="仿宋" w:hAnsi="仿宋" w:eastAsia="仿宋" w:cs="仿宋"/>
                <w:color w:val="auto"/>
                <w:sz w:val="24"/>
                <w:szCs w:val="24"/>
                <w:highlight w:val="none"/>
              </w:rPr>
              <w:t>:30</w:t>
            </w:r>
            <w:r>
              <w:rPr>
                <w:rFonts w:hint="eastAsia" w:ascii="仿宋" w:hAnsi="仿宋" w:eastAsia="仿宋" w:cs="仿宋"/>
                <w:color w:val="auto"/>
                <w:sz w:val="24"/>
                <w:szCs w:val="24"/>
                <w:highlight w:val="none"/>
              </w:rPr>
              <w:tab/>
            </w:r>
          </w:p>
          <w:p w14:paraId="33A9A41F">
            <w:pPr>
              <w:spacing w:line="53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地点：</w:t>
            </w:r>
            <w:r>
              <w:rPr>
                <w:rFonts w:hint="eastAsia" w:ascii="仿宋" w:hAnsi="仿宋" w:eastAsia="仿宋" w:cs="仿宋"/>
                <w:color w:val="auto"/>
                <w:sz w:val="24"/>
                <w:szCs w:val="24"/>
                <w:highlight w:val="none"/>
                <w:lang w:eastAsia="zh-CN"/>
              </w:rPr>
              <w:t>江苏政府采购网“苏采云”系统</w:t>
            </w:r>
          </w:p>
        </w:tc>
      </w:tr>
      <w:tr w14:paraId="1C9AF5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23059BDA">
            <w:pPr>
              <w:widowControl/>
              <w:spacing w:line="53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5</w:t>
            </w:r>
          </w:p>
        </w:tc>
        <w:tc>
          <w:tcPr>
            <w:tcW w:w="2330" w:type="dxa"/>
            <w:tcBorders>
              <w:top w:val="single" w:color="000000" w:sz="4" w:space="0"/>
              <w:left w:val="single" w:color="000000" w:sz="4" w:space="0"/>
              <w:bottom w:val="single" w:color="000000" w:sz="4" w:space="0"/>
              <w:right w:val="single" w:color="000000" w:sz="4" w:space="0"/>
            </w:tcBorders>
            <w:vAlign w:val="center"/>
          </w:tcPr>
          <w:p w14:paraId="312B3824">
            <w:pPr>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投标文件提交</w:t>
            </w:r>
          </w:p>
        </w:tc>
        <w:tc>
          <w:tcPr>
            <w:tcW w:w="6609" w:type="dxa"/>
            <w:tcBorders>
              <w:top w:val="single" w:color="000000" w:sz="4" w:space="0"/>
              <w:left w:val="single" w:color="000000" w:sz="4" w:space="0"/>
              <w:bottom w:val="single" w:color="000000" w:sz="4" w:space="0"/>
              <w:right w:val="single" w:color="000000" w:sz="4" w:space="0"/>
            </w:tcBorders>
            <w:vAlign w:val="center"/>
          </w:tcPr>
          <w:p w14:paraId="156ABC98">
            <w:pPr>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投标人在制作和提交投标文件时，可能需使用有效的CA数字证书和电子签章，按照《操作手册》要求对</w:t>
            </w:r>
            <w:r>
              <w:rPr>
                <w:rFonts w:hint="eastAsia" w:ascii="仿宋" w:hAnsi="仿宋" w:eastAsia="仿宋" w:cs="仿宋"/>
                <w:color w:val="auto"/>
                <w:sz w:val="24"/>
                <w:szCs w:val="24"/>
                <w:highlight w:val="none"/>
                <w:lang w:eastAsia="zh-CN"/>
              </w:rPr>
              <w:t>投标文件</w:t>
            </w:r>
            <w:r>
              <w:rPr>
                <w:rFonts w:hint="eastAsia" w:ascii="仿宋" w:hAnsi="仿宋" w:eastAsia="仿宋" w:cs="仿宋"/>
                <w:color w:val="auto"/>
                <w:sz w:val="24"/>
                <w:szCs w:val="24"/>
                <w:highlight w:val="none"/>
              </w:rPr>
              <w:t>进行电子签章和加密，并在投标文件提交截止时间前在</w:t>
            </w:r>
            <w:r>
              <w:rPr>
                <w:rFonts w:hint="eastAsia" w:ascii="仿宋" w:hAnsi="仿宋" w:eastAsia="仿宋" w:cs="仿宋"/>
                <w:color w:val="auto"/>
                <w:sz w:val="24"/>
                <w:szCs w:val="24"/>
                <w:highlight w:val="none"/>
                <w:lang w:eastAsia="zh-CN"/>
              </w:rPr>
              <w:t>“江苏政府采购网‘苏采云’系统”</w:t>
            </w:r>
            <w:r>
              <w:rPr>
                <w:rFonts w:hint="eastAsia" w:ascii="仿宋" w:hAnsi="仿宋" w:eastAsia="仿宋" w:cs="仿宋"/>
                <w:color w:val="auto"/>
                <w:sz w:val="24"/>
                <w:szCs w:val="24"/>
                <w:highlight w:val="none"/>
              </w:rPr>
              <w:t>内提交。供应商应充分考虑到网络环境、网络带宽等风险因素，如因供应商自身原因造成的电子投标文件上传不成功的做无效投标处理。</w:t>
            </w:r>
          </w:p>
        </w:tc>
      </w:tr>
      <w:tr w14:paraId="52DDAB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7015919B">
            <w:pPr>
              <w:widowControl/>
              <w:spacing w:line="53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16</w:t>
            </w:r>
          </w:p>
        </w:tc>
        <w:tc>
          <w:tcPr>
            <w:tcW w:w="2330" w:type="dxa"/>
            <w:tcBorders>
              <w:top w:val="single" w:color="000000" w:sz="4" w:space="0"/>
              <w:left w:val="single" w:color="000000" w:sz="4" w:space="0"/>
              <w:bottom w:val="single" w:color="000000" w:sz="4" w:space="0"/>
              <w:right w:val="single" w:color="000000" w:sz="4" w:space="0"/>
            </w:tcBorders>
            <w:vAlign w:val="center"/>
          </w:tcPr>
          <w:p w14:paraId="54A86000">
            <w:pPr>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投标文件有效期</w:t>
            </w:r>
          </w:p>
        </w:tc>
        <w:tc>
          <w:tcPr>
            <w:tcW w:w="6609" w:type="dxa"/>
            <w:tcBorders>
              <w:top w:val="single" w:color="000000" w:sz="4" w:space="0"/>
              <w:left w:val="single" w:color="000000" w:sz="4" w:space="0"/>
              <w:bottom w:val="single" w:color="000000" w:sz="4" w:space="0"/>
              <w:right w:val="single" w:color="000000" w:sz="4" w:space="0"/>
            </w:tcBorders>
            <w:vAlign w:val="center"/>
          </w:tcPr>
          <w:p w14:paraId="479B50B8">
            <w:pPr>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投标截止时间后六十天（60天）。</w:t>
            </w:r>
          </w:p>
        </w:tc>
      </w:tr>
      <w:tr w14:paraId="33EDEB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3DF0A874">
            <w:pPr>
              <w:widowControl/>
              <w:spacing w:line="53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17</w:t>
            </w:r>
          </w:p>
        </w:tc>
        <w:tc>
          <w:tcPr>
            <w:tcW w:w="2330" w:type="dxa"/>
            <w:tcBorders>
              <w:top w:val="single" w:color="000000" w:sz="4" w:space="0"/>
              <w:left w:val="single" w:color="000000" w:sz="4" w:space="0"/>
              <w:bottom w:val="single" w:color="000000" w:sz="4" w:space="0"/>
              <w:right w:val="single" w:color="000000" w:sz="4" w:space="0"/>
            </w:tcBorders>
            <w:vAlign w:val="center"/>
          </w:tcPr>
          <w:p w14:paraId="4AD25466">
            <w:pPr>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是否专门面向中小企业采购项目</w:t>
            </w:r>
          </w:p>
        </w:tc>
        <w:tc>
          <w:tcPr>
            <w:tcW w:w="6609" w:type="dxa"/>
            <w:tcBorders>
              <w:top w:val="single" w:color="000000" w:sz="4" w:space="0"/>
              <w:left w:val="single" w:color="000000" w:sz="4" w:space="0"/>
              <w:bottom w:val="single" w:color="000000" w:sz="4" w:space="0"/>
              <w:right w:val="single" w:color="000000" w:sz="4" w:space="0"/>
            </w:tcBorders>
            <w:vAlign w:val="center"/>
          </w:tcPr>
          <w:p w14:paraId="02D3E063">
            <w:pPr>
              <w:spacing w:line="53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分包一：专门面向中小企业采购项目。</w:t>
            </w:r>
          </w:p>
          <w:p w14:paraId="1419A629">
            <w:pPr>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分包二：非专门面向中小企业采购项目</w:t>
            </w:r>
            <w:r>
              <w:rPr>
                <w:rFonts w:hint="eastAsia" w:ascii="仿宋" w:hAnsi="仿宋" w:eastAsia="仿宋" w:cs="仿宋"/>
                <w:color w:val="auto"/>
                <w:sz w:val="24"/>
                <w:szCs w:val="24"/>
                <w:highlight w:val="none"/>
              </w:rPr>
              <w:t>。</w:t>
            </w:r>
          </w:p>
        </w:tc>
      </w:tr>
      <w:tr w14:paraId="3259E1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56F26929">
            <w:pPr>
              <w:widowControl/>
              <w:spacing w:line="530" w:lineRule="exact"/>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8</w:t>
            </w:r>
          </w:p>
        </w:tc>
        <w:tc>
          <w:tcPr>
            <w:tcW w:w="2330" w:type="dxa"/>
            <w:tcBorders>
              <w:top w:val="single" w:color="000000" w:sz="4" w:space="0"/>
              <w:left w:val="single" w:color="000000" w:sz="4" w:space="0"/>
              <w:bottom w:val="single" w:color="000000" w:sz="4" w:space="0"/>
              <w:right w:val="single" w:color="000000" w:sz="4" w:space="0"/>
            </w:tcBorders>
            <w:vAlign w:val="center"/>
          </w:tcPr>
          <w:p w14:paraId="6BDAEFB9">
            <w:pPr>
              <w:spacing w:line="53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项目所属行业及</w:t>
            </w:r>
          </w:p>
          <w:p w14:paraId="47EAC4B0">
            <w:pPr>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划分标准</w:t>
            </w:r>
          </w:p>
        </w:tc>
        <w:tc>
          <w:tcPr>
            <w:tcW w:w="6609" w:type="dxa"/>
            <w:tcBorders>
              <w:top w:val="single" w:color="000000" w:sz="4" w:space="0"/>
              <w:left w:val="single" w:color="000000" w:sz="4" w:space="0"/>
              <w:bottom w:val="single" w:color="000000" w:sz="4" w:space="0"/>
              <w:right w:val="single" w:color="000000" w:sz="4" w:space="0"/>
            </w:tcBorders>
            <w:vAlign w:val="center"/>
          </w:tcPr>
          <w:p w14:paraId="32E81C8F">
            <w:pPr>
              <w:widowControl/>
              <w:spacing w:line="530" w:lineRule="exact"/>
              <w:jc w:val="left"/>
              <w:rPr>
                <w:rFonts w:ascii="仿宋" w:hAnsi="仿宋" w:eastAsia="仿宋" w:cs="仿宋"/>
                <w:color w:val="auto"/>
                <w:sz w:val="24"/>
                <w:szCs w:val="24"/>
                <w:highlight w:val="none"/>
              </w:rPr>
            </w:pPr>
            <w:r>
              <w:rPr>
                <w:rFonts w:ascii="仿宋" w:hAnsi="仿宋" w:eastAsia="仿宋" w:cs="仿宋"/>
                <w:b/>
                <w:bCs/>
                <w:color w:val="auto"/>
                <w:sz w:val="24"/>
                <w:szCs w:val="24"/>
                <w:highlight w:val="none"/>
                <w:u w:val="single"/>
              </w:rPr>
              <w:t>其他未列明行业</w:t>
            </w:r>
            <w:r>
              <w:rPr>
                <w:rFonts w:ascii="仿宋" w:hAnsi="仿宋" w:eastAsia="仿宋" w:cs="仿宋"/>
                <w:color w:val="auto"/>
                <w:sz w:val="24"/>
                <w:szCs w:val="24"/>
                <w:highlight w:val="none"/>
              </w:rPr>
              <w:t>。从业人员300人以下的为中小微型企业。其中，从业人员100人及以上的为中型企业；从业人员10人及以上的为小型企业；从业人员10人以下的为微型企业。</w:t>
            </w:r>
          </w:p>
        </w:tc>
      </w:tr>
      <w:tr w14:paraId="619050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2" w:hRule="atLeast"/>
          <w:jc w:val="center"/>
        </w:trPr>
        <w:tc>
          <w:tcPr>
            <w:tcW w:w="720" w:type="dxa"/>
            <w:tcBorders>
              <w:top w:val="single" w:color="000000" w:sz="4" w:space="0"/>
              <w:left w:val="single" w:color="000000" w:sz="4" w:space="0"/>
              <w:bottom w:val="single" w:color="000000" w:sz="4" w:space="0"/>
              <w:right w:val="single" w:color="000000" w:sz="4" w:space="0"/>
            </w:tcBorders>
            <w:vAlign w:val="center"/>
          </w:tcPr>
          <w:p w14:paraId="3FF1A2ED">
            <w:pPr>
              <w:widowControl/>
              <w:spacing w:line="530" w:lineRule="exac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19</w:t>
            </w:r>
          </w:p>
        </w:tc>
        <w:tc>
          <w:tcPr>
            <w:tcW w:w="2330" w:type="dxa"/>
            <w:tcBorders>
              <w:top w:val="single" w:color="000000" w:sz="4" w:space="0"/>
              <w:left w:val="single" w:color="000000" w:sz="4" w:space="0"/>
              <w:bottom w:val="single" w:color="000000" w:sz="4" w:space="0"/>
              <w:right w:val="single" w:color="000000" w:sz="4" w:space="0"/>
            </w:tcBorders>
            <w:vAlign w:val="center"/>
          </w:tcPr>
          <w:p w14:paraId="2E8C1F8F">
            <w:pPr>
              <w:spacing w:line="530" w:lineRule="exact"/>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代理服务费</w:t>
            </w:r>
          </w:p>
        </w:tc>
        <w:tc>
          <w:tcPr>
            <w:tcW w:w="6609" w:type="dxa"/>
            <w:tcBorders>
              <w:top w:val="single" w:color="000000" w:sz="4" w:space="0"/>
              <w:left w:val="single" w:color="000000" w:sz="4" w:space="0"/>
              <w:bottom w:val="single" w:color="000000" w:sz="4" w:space="0"/>
              <w:right w:val="single" w:color="000000" w:sz="4" w:space="0"/>
            </w:tcBorders>
            <w:vAlign w:val="center"/>
          </w:tcPr>
          <w:p w14:paraId="50463996">
            <w:pPr>
              <w:spacing w:line="53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本项目采购预算已包含政府采购代理服务费</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代理服务费由中标</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承担并支付</w:t>
            </w:r>
            <w:r>
              <w:rPr>
                <w:rFonts w:hint="eastAsia" w:ascii="仿宋" w:hAnsi="仿宋" w:eastAsia="仿宋" w:cs="仿宋"/>
                <w:color w:val="auto"/>
                <w:sz w:val="24"/>
                <w:szCs w:val="24"/>
                <w:highlight w:val="none"/>
                <w:lang w:eastAsia="zh-CN"/>
              </w:rPr>
              <w:t>。</w:t>
            </w:r>
          </w:p>
          <w:p w14:paraId="1D35A72A">
            <w:pPr>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代理服务费由中标</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在领取中标通知书前</w:t>
            </w:r>
            <w:r>
              <w:rPr>
                <w:rFonts w:hint="eastAsia" w:ascii="仿宋" w:hAnsi="仿宋" w:eastAsia="仿宋" w:cs="仿宋"/>
                <w:color w:val="auto"/>
                <w:sz w:val="24"/>
                <w:szCs w:val="24"/>
                <w:highlight w:val="none"/>
                <w:lang w:val="en-US" w:eastAsia="zh-CN"/>
              </w:rPr>
              <w:t>向招标代理机构</w:t>
            </w:r>
            <w:r>
              <w:rPr>
                <w:rFonts w:hint="eastAsia" w:ascii="仿宋" w:hAnsi="仿宋" w:eastAsia="仿宋" w:cs="仿宋"/>
                <w:color w:val="auto"/>
                <w:sz w:val="24"/>
                <w:szCs w:val="24"/>
                <w:highlight w:val="none"/>
              </w:rPr>
              <w:t>一次性支付，中标</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凭《</w:t>
            </w:r>
            <w:r>
              <w:rPr>
                <w:rFonts w:hint="eastAsia" w:ascii="仿宋" w:hAnsi="仿宋" w:eastAsia="仿宋" w:cs="仿宋"/>
                <w:color w:val="auto"/>
                <w:sz w:val="24"/>
                <w:szCs w:val="24"/>
                <w:highlight w:val="none"/>
                <w:lang w:eastAsia="zh-CN"/>
              </w:rPr>
              <w:t>中标通知书</w:t>
            </w:r>
            <w:r>
              <w:rPr>
                <w:rFonts w:hint="eastAsia" w:ascii="仿宋" w:hAnsi="仿宋" w:eastAsia="仿宋" w:cs="仿宋"/>
                <w:color w:val="auto"/>
                <w:sz w:val="24"/>
                <w:szCs w:val="24"/>
                <w:highlight w:val="none"/>
              </w:rPr>
              <w:t>》与采购方签订合同。</w:t>
            </w:r>
          </w:p>
          <w:p w14:paraId="0B695F3A">
            <w:pPr>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付款形式：网上银行转账或银行电汇（不接受其他形式）</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并在转账或电汇时，备注“</w:t>
            </w:r>
            <w:r>
              <w:rPr>
                <w:rFonts w:hint="eastAsia" w:ascii="仿宋" w:hAnsi="仿宋" w:eastAsia="仿宋" w:cs="仿宋"/>
                <w:color w:val="auto"/>
                <w:sz w:val="24"/>
                <w:szCs w:val="24"/>
                <w:highlight w:val="none"/>
                <w:lang w:val="en-US" w:eastAsia="zh-CN"/>
              </w:rPr>
              <w:t>15G</w:t>
            </w:r>
            <w:r>
              <w:rPr>
                <w:rFonts w:hint="eastAsia" w:ascii="仿宋" w:hAnsi="仿宋" w:eastAsia="仿宋" w:cs="仿宋"/>
                <w:color w:val="auto"/>
                <w:sz w:val="24"/>
                <w:szCs w:val="24"/>
                <w:highlight w:val="none"/>
              </w:rPr>
              <w:t>+代理费”字样。</w:t>
            </w:r>
          </w:p>
          <w:p w14:paraId="584943ED">
            <w:pPr>
              <w:spacing w:line="53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收费标准：按照《江苏省政府采购代理服务收费指导意见》（苏政采协〔2024〕20号）规定执行。此项费用不单独开列而应计入投标价。</w:t>
            </w:r>
          </w:p>
        </w:tc>
      </w:tr>
    </w:tbl>
    <w:p w14:paraId="77B4E6F2">
      <w:pPr>
        <w:pStyle w:val="192"/>
        <w:spacing w:before="0" w:after="0" w:line="360" w:lineRule="auto"/>
        <w:ind w:firstLine="498"/>
        <w:rPr>
          <w:rFonts w:ascii="仿宋" w:hAnsi="仿宋" w:eastAsia="仿宋" w:cs="仿宋"/>
          <w:color w:val="auto"/>
          <w:highlight w:val="none"/>
        </w:rPr>
      </w:pPr>
      <w:r>
        <w:rPr>
          <w:rFonts w:hint="eastAsia" w:ascii="仿宋" w:hAnsi="仿宋" w:eastAsia="仿宋" w:cs="仿宋"/>
          <w:color w:val="auto"/>
          <w:highlight w:val="none"/>
        </w:rPr>
        <w:br w:type="page" w:clear="all"/>
      </w:r>
      <w:bookmarkStart w:id="111" w:name="_Toc1000"/>
      <w:bookmarkStart w:id="112" w:name="_Toc14736"/>
      <w:r>
        <w:rPr>
          <w:rFonts w:hint="eastAsia" w:ascii="仿宋" w:hAnsi="仿宋" w:eastAsia="仿宋" w:cs="仿宋"/>
          <w:color w:val="auto"/>
          <w:highlight w:val="none"/>
        </w:rPr>
        <w:t>一、总则</w:t>
      </w:r>
      <w:bookmarkEnd w:id="106"/>
      <w:bookmarkEnd w:id="107"/>
      <w:bookmarkEnd w:id="108"/>
      <w:bookmarkEnd w:id="109"/>
      <w:bookmarkEnd w:id="110"/>
      <w:bookmarkEnd w:id="111"/>
      <w:bookmarkEnd w:id="112"/>
    </w:p>
    <w:p w14:paraId="6E373C61">
      <w:pPr>
        <w:pStyle w:val="194"/>
        <w:spacing w:before="0" w:after="0" w:line="240" w:lineRule="auto"/>
        <w:ind w:firstLine="361"/>
        <w:rPr>
          <w:rFonts w:ascii="仿宋" w:hAnsi="仿宋" w:eastAsia="仿宋" w:cs="仿宋"/>
          <w:color w:val="auto"/>
          <w:sz w:val="24"/>
          <w:szCs w:val="24"/>
          <w:highlight w:val="none"/>
        </w:rPr>
      </w:pPr>
      <w:bookmarkStart w:id="113" w:name="_Hlt16619475"/>
      <w:bookmarkEnd w:id="113"/>
      <w:bookmarkStart w:id="114" w:name="_Toc458694821"/>
      <w:bookmarkStart w:id="115" w:name="_Toc20823276"/>
      <w:bookmarkStart w:id="116" w:name="_Toc513029204"/>
      <w:bookmarkStart w:id="117" w:name="_Toc16938520"/>
      <w:r>
        <w:rPr>
          <w:rFonts w:hint="eastAsia" w:ascii="仿宋" w:hAnsi="仿宋" w:eastAsia="仿宋" w:cs="仿宋"/>
          <w:color w:val="auto"/>
          <w:sz w:val="24"/>
          <w:szCs w:val="24"/>
          <w:highlight w:val="none"/>
        </w:rPr>
        <w:t>1</w:t>
      </w:r>
      <w:bookmarkEnd w:id="114"/>
      <w:r>
        <w:rPr>
          <w:rFonts w:hint="eastAsia" w:ascii="仿宋" w:hAnsi="仿宋" w:eastAsia="仿宋" w:cs="仿宋"/>
          <w:color w:val="auto"/>
          <w:sz w:val="24"/>
          <w:szCs w:val="24"/>
          <w:highlight w:val="none"/>
        </w:rPr>
        <w:t>.招标方式</w:t>
      </w:r>
      <w:bookmarkEnd w:id="115"/>
      <w:bookmarkEnd w:id="116"/>
      <w:bookmarkEnd w:id="117"/>
    </w:p>
    <w:p w14:paraId="3D75E4D1">
      <w:pPr>
        <w:spacing w:line="288" w:lineRule="auto"/>
        <w:ind w:firstLine="440"/>
        <w:rPr>
          <w:rFonts w:ascii="仿宋" w:hAnsi="仿宋" w:eastAsia="仿宋" w:cs="仿宋"/>
          <w:color w:val="auto"/>
          <w:sz w:val="24"/>
          <w:szCs w:val="24"/>
          <w:highlight w:val="none"/>
        </w:rPr>
      </w:pPr>
      <w:r>
        <w:rPr>
          <w:rFonts w:hint="eastAsia" w:ascii="仿宋" w:hAnsi="仿宋" w:eastAsia="仿宋" w:cs="仿宋"/>
          <w:color w:val="auto"/>
          <w:sz w:val="22"/>
          <w:szCs w:val="22"/>
          <w:highlight w:val="none"/>
        </w:rPr>
        <w:t>1.1 本次招标采取公开招标方式，本招标文件仅适用于招标公告中所述项目。</w:t>
      </w:r>
    </w:p>
    <w:p w14:paraId="08D93CDA">
      <w:pPr>
        <w:pStyle w:val="194"/>
        <w:spacing w:before="0" w:after="0" w:line="240" w:lineRule="auto"/>
        <w:ind w:firstLine="361"/>
        <w:rPr>
          <w:rFonts w:ascii="仿宋" w:hAnsi="仿宋" w:eastAsia="仿宋" w:cs="仿宋"/>
          <w:color w:val="auto"/>
          <w:sz w:val="24"/>
          <w:szCs w:val="24"/>
          <w:highlight w:val="none"/>
        </w:rPr>
      </w:pPr>
      <w:bookmarkStart w:id="118" w:name="_Toc16938521"/>
      <w:bookmarkStart w:id="119" w:name="_Toc20823277"/>
      <w:bookmarkStart w:id="120" w:name="_Toc513029205"/>
      <w:r>
        <w:rPr>
          <w:rFonts w:hint="eastAsia" w:ascii="仿宋" w:hAnsi="仿宋" w:eastAsia="仿宋" w:cs="仿宋"/>
          <w:color w:val="auto"/>
          <w:sz w:val="24"/>
          <w:szCs w:val="24"/>
          <w:highlight w:val="none"/>
        </w:rPr>
        <w:t>2.合格的投标人</w:t>
      </w:r>
      <w:bookmarkEnd w:id="118"/>
      <w:bookmarkEnd w:id="119"/>
      <w:bookmarkEnd w:id="120"/>
    </w:p>
    <w:p w14:paraId="1CFE4527">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2.1 满足招标公告中供应商的资格要求的规定。</w:t>
      </w:r>
    </w:p>
    <w:p w14:paraId="4436C917">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2.2 满足本文件实质性条款的规定。</w:t>
      </w:r>
      <w:bookmarkStart w:id="121" w:name="_Toc16938522"/>
      <w:bookmarkStart w:id="122" w:name="_Toc513029206"/>
      <w:bookmarkStart w:id="123" w:name="_Toc20823278"/>
    </w:p>
    <w:p w14:paraId="36FDB676">
      <w:pPr>
        <w:spacing w:line="288" w:lineRule="auto"/>
        <w:ind w:firstLine="44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3.适用法律</w:t>
      </w:r>
      <w:bookmarkEnd w:id="121"/>
      <w:bookmarkEnd w:id="122"/>
      <w:bookmarkEnd w:id="123"/>
    </w:p>
    <w:p w14:paraId="307DB655">
      <w:pPr>
        <w:spacing w:line="288" w:lineRule="auto"/>
        <w:ind w:firstLine="440"/>
        <w:rPr>
          <w:rFonts w:ascii="仿宋" w:hAnsi="仿宋" w:eastAsia="仿宋" w:cs="仿宋"/>
          <w:color w:val="auto"/>
          <w:sz w:val="22"/>
          <w:szCs w:val="22"/>
          <w:highlight w:val="none"/>
        </w:rPr>
      </w:pPr>
      <w:bookmarkStart w:id="124" w:name="_Toc16938523"/>
      <w:bookmarkStart w:id="125" w:name="_Toc462564067"/>
      <w:bookmarkStart w:id="126" w:name="_Toc20823279"/>
      <w:bookmarkStart w:id="127" w:name="_Toc513029207"/>
      <w:r>
        <w:rPr>
          <w:rFonts w:hint="eastAsia" w:ascii="仿宋" w:hAnsi="仿宋" w:eastAsia="仿宋" w:cs="仿宋"/>
          <w:color w:val="auto"/>
          <w:sz w:val="22"/>
          <w:szCs w:val="22"/>
          <w:highlight w:val="none"/>
        </w:rPr>
        <w:t>3.1</w:t>
      </w:r>
      <w:r>
        <w:rPr>
          <w:rFonts w:hint="eastAsia" w:ascii="仿宋" w:hAnsi="仿宋" w:eastAsia="仿宋" w:cs="仿宋"/>
          <w:color w:val="auto"/>
          <w:sz w:val="22"/>
          <w:szCs w:val="22"/>
          <w:highlight w:val="none"/>
          <w:lang w:val="zh-CN"/>
        </w:rPr>
        <w:t>《中华人民共和国政府采购法》《中华人民共和国政府采购法实施条例》《政府采购货物和服务招标投标管理办法》等有关法律、规章和规定等。</w:t>
      </w:r>
    </w:p>
    <w:p w14:paraId="09F5D686">
      <w:pPr>
        <w:pStyle w:val="194"/>
        <w:spacing w:before="0" w:after="0" w:line="240" w:lineRule="auto"/>
        <w:ind w:firstLine="361"/>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4.政策功能</w:t>
      </w:r>
    </w:p>
    <w:p w14:paraId="6C1D46CD">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4.1 政府采购促进中小企业发展，在政府采购活动中，供应商提供的服务符合下列情形的，享受中小企业扶持政策：</w:t>
      </w:r>
    </w:p>
    <w:p w14:paraId="3AE74849">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（1）在服务采购项目中，服务由中小企业承接，即提供服务的人员为中小企业依照《中华人民共和国劳动合同法》订立劳动合同的从业人员。</w:t>
      </w:r>
    </w:p>
    <w:p w14:paraId="584927E7">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（2）以联合体形式参加政府采购活动，联合体各方均为中小企业的，联合体视同中小企业。其中，联合体各方均为小微企业的，联合体视同小微企业。</w:t>
      </w:r>
    </w:p>
    <w:p w14:paraId="02CB2571">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（3）中小企业供应商参加政府采购活动，应当出具《中小企业声明函》（格式见后附件），否则不得享受相关中小企业扶持政策。</w:t>
      </w:r>
    </w:p>
    <w:p w14:paraId="03DEF75F">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4）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595F25A0">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4.2 政府采购支持监狱和戒毒企业发展政策，监狱和戒毒企业提供的产品和服务在评标时 将获得优势，参加投标的监狱和戒毒企业，应当提供由省级以上监狱管理局、戒毒管理局（含新疆生产建设兵团）出具的属于监狱企业的证明文件，监狱和戒毒企业享受政府采购支持政策的要求详见财库〔2014〕68 号。</w:t>
      </w:r>
    </w:p>
    <w:p w14:paraId="08FC2493">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4.3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p>
    <w:p w14:paraId="7B13341B">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4.4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p>
    <w:p w14:paraId="149A3240">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4.5 提供的产品属于信息安全产品的，供应商应当选择经国家认证的信息安全产品投标，并提供由中国信息安全认证中心按国家标准认证颁发的有效认证证书</w:t>
      </w:r>
      <w:r>
        <w:rPr>
          <w:rFonts w:hint="eastAsia" w:ascii="仿宋" w:hAnsi="仿宋" w:eastAsia="仿宋" w:cs="仿宋"/>
          <w:color w:val="auto"/>
          <w:sz w:val="22"/>
          <w:szCs w:val="22"/>
          <w:highlight w:val="none"/>
          <w:lang w:eastAsia="zh-CN"/>
        </w:rPr>
        <w:t>扫描件</w:t>
      </w:r>
      <w:r>
        <w:rPr>
          <w:rFonts w:hint="eastAsia" w:ascii="仿宋" w:hAnsi="仿宋" w:eastAsia="仿宋" w:cs="仿宋"/>
          <w:color w:val="auto"/>
          <w:sz w:val="22"/>
          <w:szCs w:val="22"/>
          <w:highlight w:val="none"/>
        </w:rPr>
        <w:t>。</w:t>
      </w:r>
    </w:p>
    <w:p w14:paraId="0D087E7A">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4.6 提供的产品属于政府强制采购节能产品的，供应商应当选择依据国家标准中二级能效 （水效）指标认证的节能产品投标，并提供有效的节能产品认证证书</w:t>
      </w:r>
      <w:r>
        <w:rPr>
          <w:rFonts w:hint="eastAsia" w:ascii="仿宋" w:hAnsi="仿宋" w:eastAsia="仿宋" w:cs="仿宋"/>
          <w:color w:val="auto"/>
          <w:sz w:val="22"/>
          <w:szCs w:val="22"/>
          <w:highlight w:val="none"/>
          <w:lang w:eastAsia="zh-CN"/>
        </w:rPr>
        <w:t>扫描件</w:t>
      </w:r>
      <w:r>
        <w:rPr>
          <w:rFonts w:hint="eastAsia" w:ascii="仿宋" w:hAnsi="仿宋" w:eastAsia="仿宋" w:cs="仿宋"/>
          <w:color w:val="auto"/>
          <w:sz w:val="22"/>
          <w:szCs w:val="22"/>
          <w:highlight w:val="none"/>
        </w:rPr>
        <w:t>。</w:t>
      </w:r>
    </w:p>
    <w:p w14:paraId="65E42502">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4.7 提供的产品属于环境标志产品的，供应商应当选择依据相关标准的最新版本认证的环境标志产品投标，并提供有效的环境标志产品认证证书</w:t>
      </w:r>
      <w:r>
        <w:rPr>
          <w:rFonts w:hint="eastAsia" w:ascii="仿宋" w:hAnsi="仿宋" w:eastAsia="仿宋" w:cs="仿宋"/>
          <w:color w:val="auto"/>
          <w:sz w:val="22"/>
          <w:szCs w:val="22"/>
          <w:highlight w:val="none"/>
          <w:lang w:eastAsia="zh-CN"/>
        </w:rPr>
        <w:t>扫描件</w:t>
      </w:r>
      <w:r>
        <w:rPr>
          <w:rFonts w:hint="eastAsia" w:ascii="仿宋" w:hAnsi="仿宋" w:eastAsia="仿宋" w:cs="仿宋"/>
          <w:color w:val="auto"/>
          <w:sz w:val="22"/>
          <w:szCs w:val="22"/>
          <w:highlight w:val="none"/>
        </w:rPr>
        <w:t>。</w:t>
      </w:r>
    </w:p>
    <w:p w14:paraId="28D595F0">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4.8未按要求提供相关材料的，不享受相关政策。</w:t>
      </w:r>
    </w:p>
    <w:p w14:paraId="708BB693">
      <w:pPr>
        <w:pStyle w:val="194"/>
        <w:spacing w:before="0" w:after="0" w:line="240" w:lineRule="auto"/>
        <w:ind w:firstLine="361"/>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5.投标费用</w:t>
      </w:r>
      <w:bookmarkEnd w:id="124"/>
      <w:bookmarkEnd w:id="125"/>
      <w:bookmarkEnd w:id="126"/>
      <w:bookmarkEnd w:id="127"/>
    </w:p>
    <w:p w14:paraId="71FBC942">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5.1 投标人应自行承担所有与参加投标有关的费用，无论投标过程中的做法和结果如何，江苏柒采招标代理有限公司（以下简称招标代理）在任何情况下均无义务和责任承担这些费用。</w:t>
      </w:r>
    </w:p>
    <w:p w14:paraId="1F5294CA">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5.2本</w:t>
      </w:r>
      <w:r>
        <w:rPr>
          <w:rFonts w:hint="eastAsia" w:ascii="仿宋" w:hAnsi="仿宋" w:eastAsia="仿宋" w:cs="仿宋"/>
          <w:color w:val="auto"/>
          <w:sz w:val="22"/>
          <w:szCs w:val="22"/>
          <w:highlight w:val="none"/>
          <w:lang w:val="en-US" w:eastAsia="zh-CN"/>
        </w:rPr>
        <w:t>项目</w:t>
      </w:r>
      <w:r>
        <w:rPr>
          <w:rFonts w:hint="eastAsia" w:ascii="仿宋" w:hAnsi="仿宋" w:eastAsia="仿宋" w:cs="仿宋"/>
          <w:color w:val="auto"/>
          <w:sz w:val="22"/>
          <w:szCs w:val="22"/>
          <w:highlight w:val="none"/>
        </w:rPr>
        <w:t>收取</w:t>
      </w:r>
      <w:r>
        <w:rPr>
          <w:rFonts w:hint="eastAsia" w:ascii="仿宋" w:hAnsi="仿宋" w:eastAsia="仿宋" w:cs="仿宋"/>
          <w:color w:val="auto"/>
          <w:sz w:val="22"/>
          <w:szCs w:val="22"/>
          <w:highlight w:val="none"/>
          <w:lang w:val="en-US" w:eastAsia="zh-CN"/>
        </w:rPr>
        <w:t>政府采购代理</w:t>
      </w:r>
      <w:r>
        <w:rPr>
          <w:rFonts w:hint="eastAsia" w:ascii="仿宋" w:hAnsi="仿宋" w:eastAsia="仿宋" w:cs="仿宋"/>
          <w:color w:val="auto"/>
          <w:sz w:val="22"/>
          <w:szCs w:val="22"/>
          <w:highlight w:val="none"/>
        </w:rPr>
        <w:t xml:space="preserve">服务费，具体详见第一章 投标邀请及第二章 投标人须知前附表。 </w:t>
      </w:r>
    </w:p>
    <w:p w14:paraId="6C25EB72">
      <w:pPr>
        <w:pStyle w:val="194"/>
        <w:spacing w:before="0" w:after="0" w:line="240" w:lineRule="auto"/>
        <w:ind w:firstLine="361"/>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6.招标文件的约束力</w:t>
      </w:r>
    </w:p>
    <w:p w14:paraId="24ADFE61">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6.1 投标人一旦参加本项目采购活动，即被认为接受了本招标文件的规定和约束。</w:t>
      </w:r>
    </w:p>
    <w:p w14:paraId="1235EFE3">
      <w:pPr>
        <w:pStyle w:val="192"/>
        <w:spacing w:before="0" w:after="0" w:line="360" w:lineRule="auto"/>
        <w:ind w:firstLine="498"/>
        <w:rPr>
          <w:rFonts w:ascii="仿宋" w:hAnsi="仿宋" w:eastAsia="仿宋" w:cs="仿宋"/>
          <w:color w:val="auto"/>
          <w:highlight w:val="none"/>
        </w:rPr>
      </w:pPr>
      <w:bookmarkStart w:id="128" w:name="_Toc29366"/>
      <w:bookmarkStart w:id="129" w:name="_Toc16938525"/>
      <w:bookmarkStart w:id="130" w:name="_Toc513029209"/>
      <w:bookmarkStart w:id="131" w:name="_Toc20823281"/>
      <w:bookmarkStart w:id="132" w:name="_Toc11598"/>
      <w:bookmarkStart w:id="133" w:name="_Toc28433"/>
      <w:bookmarkStart w:id="134" w:name="_Toc120614215"/>
      <w:r>
        <w:rPr>
          <w:rFonts w:hint="eastAsia" w:ascii="仿宋" w:hAnsi="仿宋" w:eastAsia="仿宋" w:cs="仿宋"/>
          <w:color w:val="auto"/>
          <w:highlight w:val="none"/>
        </w:rPr>
        <w:t>二、招标文件</w:t>
      </w:r>
      <w:bookmarkEnd w:id="128"/>
      <w:bookmarkEnd w:id="129"/>
      <w:bookmarkEnd w:id="130"/>
      <w:bookmarkEnd w:id="131"/>
      <w:bookmarkEnd w:id="132"/>
      <w:bookmarkEnd w:id="133"/>
      <w:bookmarkEnd w:id="134"/>
    </w:p>
    <w:p w14:paraId="1797B35F">
      <w:pPr>
        <w:pStyle w:val="194"/>
        <w:spacing w:before="0" w:after="0" w:line="240" w:lineRule="auto"/>
        <w:ind w:firstLine="361"/>
        <w:rPr>
          <w:rFonts w:ascii="仿宋" w:hAnsi="仿宋" w:eastAsia="仿宋" w:cs="仿宋"/>
          <w:color w:val="auto"/>
          <w:sz w:val="24"/>
          <w:szCs w:val="24"/>
          <w:highlight w:val="none"/>
        </w:rPr>
      </w:pPr>
      <w:bookmarkStart w:id="135" w:name="_Toc513029210"/>
      <w:bookmarkStart w:id="136" w:name="_Toc16938526"/>
      <w:bookmarkStart w:id="137" w:name="_Toc20823282"/>
      <w:r>
        <w:rPr>
          <w:rFonts w:hint="eastAsia" w:ascii="仿宋" w:hAnsi="仿宋" w:eastAsia="仿宋" w:cs="仿宋"/>
          <w:color w:val="auto"/>
          <w:sz w:val="24"/>
          <w:szCs w:val="24"/>
          <w:highlight w:val="none"/>
        </w:rPr>
        <w:t>7.招标文件构成</w:t>
      </w:r>
      <w:bookmarkEnd w:id="135"/>
      <w:bookmarkEnd w:id="136"/>
      <w:bookmarkEnd w:id="137"/>
    </w:p>
    <w:p w14:paraId="1F97F079">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7.1 招标文件由以下部分组成：</w:t>
      </w:r>
    </w:p>
    <w:p w14:paraId="1B71AEDC">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（1）投标邀请</w:t>
      </w:r>
    </w:p>
    <w:p w14:paraId="073E3A2E">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（2）投标人须知</w:t>
      </w:r>
    </w:p>
    <w:p w14:paraId="5F5D597B">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（3）合同文本</w:t>
      </w:r>
    </w:p>
    <w:p w14:paraId="37F372C9">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（4）项目需求</w:t>
      </w:r>
    </w:p>
    <w:p w14:paraId="56BD3225">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（5）评标方法与评标标准</w:t>
      </w:r>
    </w:p>
    <w:p w14:paraId="3EAB015F">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（6）投标文件格式</w:t>
      </w:r>
    </w:p>
    <w:p w14:paraId="30C8C63C">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请仔细检查招标文件是否齐全，如有缺漏请立即与招标代理联系解决。</w:t>
      </w:r>
    </w:p>
    <w:p w14:paraId="6CCB5459">
      <w:pPr>
        <w:spacing w:line="288" w:lineRule="auto"/>
        <w:ind w:firstLine="440"/>
        <w:rPr>
          <w:rFonts w:ascii="仿宋" w:hAnsi="仿宋" w:eastAsia="仿宋" w:cs="仿宋"/>
          <w:color w:val="auto"/>
          <w:sz w:val="24"/>
          <w:highlight w:val="none"/>
        </w:rPr>
      </w:pPr>
      <w:r>
        <w:rPr>
          <w:rFonts w:hint="eastAsia" w:ascii="仿宋" w:hAnsi="仿宋" w:eastAsia="仿宋" w:cs="仿宋"/>
          <w:color w:val="auto"/>
          <w:sz w:val="22"/>
          <w:szCs w:val="22"/>
          <w:highlight w:val="none"/>
        </w:rPr>
        <w:t>7.2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F91DD5B">
      <w:pPr>
        <w:pStyle w:val="194"/>
        <w:spacing w:before="0" w:after="0" w:line="240" w:lineRule="auto"/>
        <w:ind w:firstLine="361"/>
        <w:rPr>
          <w:rFonts w:ascii="仿宋" w:hAnsi="仿宋" w:eastAsia="仿宋" w:cs="仿宋"/>
          <w:color w:val="auto"/>
          <w:sz w:val="24"/>
          <w:szCs w:val="24"/>
          <w:highlight w:val="none"/>
        </w:rPr>
      </w:pPr>
      <w:bookmarkStart w:id="138" w:name="_Toc20823283"/>
      <w:bookmarkStart w:id="139" w:name="_Toc16938527"/>
      <w:bookmarkStart w:id="140" w:name="_Toc462564070"/>
      <w:bookmarkStart w:id="141" w:name="_Toc513029211"/>
      <w:r>
        <w:rPr>
          <w:rFonts w:hint="eastAsia" w:ascii="仿宋" w:hAnsi="仿宋" w:eastAsia="仿宋" w:cs="仿宋"/>
          <w:color w:val="auto"/>
          <w:sz w:val="24"/>
          <w:szCs w:val="24"/>
          <w:highlight w:val="none"/>
        </w:rPr>
        <w:t>8.招标文件的澄清</w:t>
      </w:r>
      <w:bookmarkEnd w:id="138"/>
      <w:bookmarkEnd w:id="139"/>
      <w:bookmarkEnd w:id="140"/>
      <w:bookmarkEnd w:id="141"/>
    </w:p>
    <w:p w14:paraId="7D0CCC55">
      <w:pPr>
        <w:spacing w:line="288" w:lineRule="auto"/>
        <w:ind w:firstLine="440"/>
        <w:rPr>
          <w:rFonts w:ascii="仿宋" w:hAnsi="仿宋" w:eastAsia="仿宋" w:cs="仿宋"/>
          <w:color w:val="auto"/>
          <w:sz w:val="22"/>
          <w:szCs w:val="22"/>
          <w:highlight w:val="none"/>
        </w:rPr>
      </w:pPr>
      <w:bookmarkStart w:id="142" w:name="_Toc462564071"/>
      <w:bookmarkStart w:id="143" w:name="_Toc20823284"/>
      <w:bookmarkStart w:id="144" w:name="_Toc16938528"/>
      <w:bookmarkStart w:id="145" w:name="_Toc513029212"/>
      <w:r>
        <w:rPr>
          <w:rFonts w:hint="eastAsia" w:ascii="仿宋" w:hAnsi="仿宋" w:eastAsia="仿宋" w:cs="仿宋"/>
          <w:color w:val="auto"/>
          <w:sz w:val="22"/>
          <w:szCs w:val="22"/>
          <w:highlight w:val="none"/>
        </w:rPr>
        <w:t>8.1 任何要求需要对招标文件内容进行澄清的投标人，应在投标截止时间前按招标公告中的联系方式、通讯地址，以书面形式通知招标代理机构。</w:t>
      </w:r>
    </w:p>
    <w:p w14:paraId="7D39B70F">
      <w:pPr>
        <w:pStyle w:val="194"/>
        <w:spacing w:before="0" w:after="0" w:line="240" w:lineRule="auto"/>
        <w:ind w:firstLine="361"/>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9.招标文件的修改</w:t>
      </w:r>
      <w:bookmarkEnd w:id="142"/>
      <w:bookmarkEnd w:id="143"/>
      <w:bookmarkEnd w:id="144"/>
      <w:bookmarkEnd w:id="145"/>
    </w:p>
    <w:p w14:paraId="4D3A0901">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9.1 在投标截止时</w:t>
      </w:r>
      <w:r>
        <w:rPr>
          <w:rFonts w:hint="eastAsia" w:ascii="仿宋" w:hAnsi="仿宋" w:eastAsia="仿宋" w:cs="仿宋"/>
          <w:color w:val="auto"/>
          <w:sz w:val="22"/>
          <w:szCs w:val="22"/>
          <w:highlight w:val="none"/>
          <w:lang w:eastAsia="zh-CN"/>
        </w:rPr>
        <w:t>间之</w:t>
      </w:r>
      <w:r>
        <w:rPr>
          <w:rFonts w:hint="eastAsia" w:ascii="仿宋" w:hAnsi="仿宋" w:eastAsia="仿宋" w:cs="仿宋"/>
          <w:color w:val="auto"/>
          <w:sz w:val="22"/>
          <w:szCs w:val="22"/>
          <w:highlight w:val="none"/>
        </w:rPr>
        <w:t>前，招标代理可以对招标文件进行修改。</w:t>
      </w:r>
    </w:p>
    <w:p w14:paraId="32D2BCF8">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9.2 招标代理有权按照法定的要求推迟投标截止日期和开标日期。</w:t>
      </w:r>
    </w:p>
    <w:p w14:paraId="05B2CEEC">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9.3 招标文件的修改将在</w:t>
      </w:r>
      <w:r>
        <w:rPr>
          <w:rFonts w:hint="eastAsia" w:ascii="仿宋" w:hAnsi="仿宋" w:eastAsia="仿宋" w:cs="仿宋"/>
          <w:color w:val="auto"/>
          <w:sz w:val="22"/>
          <w:szCs w:val="22"/>
          <w:highlight w:val="none"/>
          <w:lang w:eastAsia="zh-CN"/>
        </w:rPr>
        <w:t>“江苏政府采购网‘苏采云’系统”</w:t>
      </w:r>
      <w:r>
        <w:rPr>
          <w:rFonts w:hint="eastAsia" w:ascii="仿宋" w:hAnsi="仿宋" w:eastAsia="仿宋" w:cs="仿宋"/>
          <w:color w:val="auto"/>
          <w:sz w:val="24"/>
          <w:highlight w:val="none"/>
        </w:rPr>
        <w:t>公布，</w:t>
      </w:r>
      <w:r>
        <w:rPr>
          <w:rFonts w:hint="eastAsia" w:ascii="仿宋" w:hAnsi="仿宋" w:eastAsia="仿宋" w:cs="仿宋"/>
          <w:color w:val="auto"/>
          <w:sz w:val="22"/>
          <w:szCs w:val="22"/>
          <w:highlight w:val="none"/>
        </w:rPr>
        <w:t>补充文件将作为招标文件的组成部分，并对投标人具有约束力。</w:t>
      </w:r>
    </w:p>
    <w:p w14:paraId="41B32DB6">
      <w:pPr>
        <w:pStyle w:val="192"/>
        <w:spacing w:before="0" w:after="0" w:line="360" w:lineRule="auto"/>
        <w:ind w:firstLine="498"/>
        <w:rPr>
          <w:rFonts w:ascii="仿宋" w:hAnsi="仿宋" w:eastAsia="仿宋" w:cs="仿宋"/>
          <w:color w:val="auto"/>
          <w:highlight w:val="none"/>
        </w:rPr>
      </w:pPr>
      <w:bookmarkStart w:id="146" w:name="_Toc31007"/>
      <w:bookmarkStart w:id="147" w:name="_Toc20976"/>
      <w:bookmarkStart w:id="148" w:name="_Toc20823285"/>
      <w:bookmarkStart w:id="149" w:name="_Toc462564072"/>
      <w:bookmarkStart w:id="150" w:name="_Toc120614216"/>
      <w:bookmarkStart w:id="151" w:name="_Toc16938529"/>
      <w:bookmarkStart w:id="152" w:name="_Toc513029213"/>
      <w:bookmarkStart w:id="153" w:name="_Toc26352"/>
      <w:r>
        <w:rPr>
          <w:rFonts w:hint="eastAsia" w:ascii="仿宋" w:hAnsi="仿宋" w:eastAsia="仿宋" w:cs="仿宋"/>
          <w:color w:val="auto"/>
          <w:highlight w:val="none"/>
        </w:rPr>
        <w:t>三、投标文件的编制</w:t>
      </w:r>
      <w:bookmarkEnd w:id="146"/>
      <w:bookmarkEnd w:id="147"/>
      <w:bookmarkEnd w:id="148"/>
      <w:bookmarkEnd w:id="149"/>
      <w:bookmarkEnd w:id="150"/>
      <w:bookmarkEnd w:id="151"/>
      <w:bookmarkEnd w:id="152"/>
      <w:bookmarkEnd w:id="153"/>
    </w:p>
    <w:p w14:paraId="75DC22C9">
      <w:pPr>
        <w:pStyle w:val="194"/>
        <w:spacing w:before="0" w:after="0" w:line="240" w:lineRule="auto"/>
        <w:ind w:firstLine="361"/>
        <w:rPr>
          <w:rFonts w:ascii="仿宋" w:hAnsi="仿宋" w:eastAsia="仿宋" w:cs="仿宋"/>
          <w:color w:val="auto"/>
          <w:sz w:val="24"/>
          <w:szCs w:val="24"/>
          <w:highlight w:val="none"/>
        </w:rPr>
      </w:pPr>
      <w:bookmarkStart w:id="154" w:name="_Toc462564073"/>
      <w:bookmarkStart w:id="155" w:name="_Toc16938530"/>
      <w:bookmarkStart w:id="156" w:name="_Toc20823286"/>
      <w:bookmarkStart w:id="157" w:name="_Toc513029214"/>
      <w:r>
        <w:rPr>
          <w:rFonts w:hint="eastAsia" w:ascii="仿宋" w:hAnsi="仿宋" w:eastAsia="仿宋" w:cs="仿宋"/>
          <w:color w:val="auto"/>
          <w:sz w:val="24"/>
          <w:szCs w:val="24"/>
          <w:highlight w:val="none"/>
        </w:rPr>
        <w:t>10.投标文件的语言及度量衡单位</w:t>
      </w:r>
      <w:bookmarkEnd w:id="154"/>
      <w:bookmarkEnd w:id="155"/>
      <w:bookmarkEnd w:id="156"/>
      <w:bookmarkEnd w:id="157"/>
    </w:p>
    <w:p w14:paraId="0BB3A382">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10.1 投标人提交的投标文件以及投标人与招标代理就有关投标的所有来往通知、函件和文件均应</w:t>
      </w:r>
      <w:r>
        <w:rPr>
          <w:rFonts w:hint="eastAsia" w:ascii="仿宋" w:hAnsi="仿宋" w:eastAsia="仿宋" w:cs="仿宋"/>
          <w:color w:val="auto"/>
          <w:sz w:val="24"/>
          <w:highlight w:val="none"/>
        </w:rPr>
        <w:t>使用</w:t>
      </w:r>
      <w:r>
        <w:rPr>
          <w:rFonts w:hint="eastAsia" w:ascii="仿宋" w:hAnsi="仿宋" w:eastAsia="仿宋" w:cs="仿宋"/>
          <w:b/>
          <w:bCs/>
          <w:color w:val="auto"/>
          <w:sz w:val="24"/>
          <w:highlight w:val="none"/>
        </w:rPr>
        <w:t>简体中文</w:t>
      </w:r>
      <w:r>
        <w:rPr>
          <w:rFonts w:hint="eastAsia" w:ascii="仿宋" w:hAnsi="仿宋" w:eastAsia="仿宋" w:cs="仿宋"/>
          <w:color w:val="auto"/>
          <w:sz w:val="24"/>
          <w:highlight w:val="none"/>
        </w:rPr>
        <w:t>。</w:t>
      </w:r>
    </w:p>
    <w:p w14:paraId="4914DD85">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10.2 除技术性能另有规定外，投标文件所使用的度量衡单位，均须采用国家法定计量单位。</w:t>
      </w:r>
    </w:p>
    <w:p w14:paraId="4CCE13C2">
      <w:pPr>
        <w:pStyle w:val="194"/>
        <w:spacing w:before="0" w:after="0" w:line="240" w:lineRule="auto"/>
        <w:ind w:firstLine="361"/>
        <w:rPr>
          <w:rFonts w:ascii="仿宋" w:hAnsi="仿宋" w:eastAsia="仿宋" w:cs="仿宋"/>
          <w:color w:val="auto"/>
          <w:sz w:val="24"/>
          <w:szCs w:val="24"/>
          <w:highlight w:val="none"/>
        </w:rPr>
      </w:pPr>
      <w:bookmarkStart w:id="158" w:name="_Toc16938531"/>
      <w:bookmarkStart w:id="159" w:name="_Toc462564074"/>
      <w:bookmarkStart w:id="160" w:name="_Toc513029215"/>
      <w:bookmarkStart w:id="161" w:name="_Toc20823287"/>
      <w:r>
        <w:rPr>
          <w:rFonts w:hint="eastAsia" w:ascii="仿宋" w:hAnsi="仿宋" w:eastAsia="仿宋" w:cs="仿宋"/>
          <w:color w:val="auto"/>
          <w:sz w:val="24"/>
          <w:szCs w:val="24"/>
          <w:highlight w:val="none"/>
        </w:rPr>
        <w:t>11.投标文件构成</w:t>
      </w:r>
      <w:bookmarkEnd w:id="158"/>
      <w:bookmarkEnd w:id="159"/>
      <w:bookmarkEnd w:id="160"/>
      <w:bookmarkEnd w:id="161"/>
    </w:p>
    <w:p w14:paraId="47856BCA">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11.1 投标人编写的投标文件应包括资格证明文件、法人授权委托书、投标函、开标一览表、投标分项报价表、技术要求响应及偏离表、商务要求响应及偏离表、其他证明文件等部分。</w:t>
      </w:r>
    </w:p>
    <w:p w14:paraId="660B6A82">
      <w:pPr>
        <w:spacing w:line="288" w:lineRule="auto"/>
        <w:ind w:firstLine="440"/>
        <w:rPr>
          <w:rFonts w:ascii="仿宋" w:hAnsi="仿宋" w:eastAsia="仿宋" w:cs="仿宋"/>
          <w:color w:val="auto"/>
          <w:sz w:val="22"/>
          <w:szCs w:val="22"/>
          <w:highlight w:val="none"/>
        </w:rPr>
      </w:pPr>
      <w:bookmarkStart w:id="162" w:name="_Hlt26954838"/>
      <w:bookmarkEnd w:id="162"/>
      <w:bookmarkStart w:id="163" w:name="_Hlt26668975"/>
      <w:bookmarkEnd w:id="163"/>
      <w:bookmarkStart w:id="164" w:name="_Hlt26670360"/>
      <w:bookmarkEnd w:id="164"/>
      <w:bookmarkStart w:id="165" w:name="_Toc513029219"/>
      <w:bookmarkStart w:id="166" w:name="_Toc49090507"/>
      <w:bookmarkStart w:id="167" w:name="_Toc513029216"/>
      <w:bookmarkStart w:id="168" w:name="_Toc14577354"/>
      <w:bookmarkStart w:id="169" w:name="_Toc49090509"/>
      <w:bookmarkStart w:id="170" w:name="_Toc14577357"/>
      <w:r>
        <w:rPr>
          <w:rFonts w:hint="eastAsia" w:ascii="仿宋" w:hAnsi="仿宋" w:eastAsia="仿宋" w:cs="仿宋"/>
          <w:color w:val="auto"/>
          <w:sz w:val="22"/>
          <w:szCs w:val="22"/>
          <w:highlight w:val="none"/>
        </w:rPr>
        <w:t>11.2 投标人应将投标文件按顺序装订成册，并编制投标文件资料目录。</w:t>
      </w:r>
    </w:p>
    <w:p w14:paraId="4671E969">
      <w:pPr>
        <w:pStyle w:val="194"/>
        <w:spacing w:before="0" w:after="0" w:line="240" w:lineRule="auto"/>
        <w:ind w:firstLine="361"/>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12.证明投标人及投标标的符合招标文件规定的文件</w:t>
      </w:r>
      <w:bookmarkEnd w:id="165"/>
      <w:bookmarkEnd w:id="166"/>
      <w:bookmarkEnd w:id="167"/>
      <w:bookmarkEnd w:id="168"/>
      <w:bookmarkEnd w:id="169"/>
      <w:bookmarkEnd w:id="170"/>
    </w:p>
    <w:p w14:paraId="4913B89C">
      <w:pPr>
        <w:spacing w:line="288" w:lineRule="auto"/>
        <w:ind w:firstLine="440"/>
        <w:rPr>
          <w:rFonts w:ascii="仿宋" w:hAnsi="仿宋" w:eastAsia="仿宋" w:cs="仿宋"/>
          <w:color w:val="auto"/>
          <w:sz w:val="22"/>
          <w:szCs w:val="22"/>
          <w:highlight w:val="none"/>
        </w:rPr>
      </w:pPr>
      <w:bookmarkStart w:id="171" w:name="_Toc14577355"/>
      <w:bookmarkStart w:id="172" w:name="_Toc49090508"/>
      <w:r>
        <w:rPr>
          <w:rFonts w:hint="eastAsia" w:ascii="仿宋" w:hAnsi="仿宋" w:eastAsia="仿宋" w:cs="仿宋"/>
          <w:color w:val="auto"/>
          <w:sz w:val="22"/>
          <w:szCs w:val="22"/>
          <w:highlight w:val="none"/>
        </w:rPr>
        <w:t>12.1 投标人应按照法律法规、规章和规范性文件以及招标文件要求提交证明文件，证明其及投标标的符合招标文件规定。</w:t>
      </w:r>
    </w:p>
    <w:p w14:paraId="79017A16">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12.2 招标文件对证明文件无明确形式要求的，证明文件可以以文字资料、图纸和数据等形式提交。</w:t>
      </w:r>
    </w:p>
    <w:p w14:paraId="305DBD0C">
      <w:pPr>
        <w:pStyle w:val="194"/>
        <w:spacing w:before="0" w:after="0" w:line="240" w:lineRule="auto"/>
        <w:ind w:firstLine="361"/>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13.投标分项报价</w:t>
      </w:r>
      <w:bookmarkEnd w:id="171"/>
      <w:bookmarkStart w:id="173" w:name="_Hlt26670373"/>
      <w:bookmarkEnd w:id="173"/>
      <w:r>
        <w:rPr>
          <w:rFonts w:hint="eastAsia" w:ascii="仿宋" w:hAnsi="仿宋" w:eastAsia="仿宋" w:cs="仿宋"/>
          <w:color w:val="auto"/>
          <w:sz w:val="24"/>
          <w:szCs w:val="24"/>
          <w:highlight w:val="none"/>
        </w:rPr>
        <w:t>表</w:t>
      </w:r>
      <w:bookmarkEnd w:id="172"/>
    </w:p>
    <w:p w14:paraId="75944B0F">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13.1 投</w:t>
      </w:r>
      <w:bookmarkStart w:id="174" w:name="_Hlt26954840"/>
      <w:bookmarkEnd w:id="174"/>
      <w:r>
        <w:rPr>
          <w:rFonts w:hint="eastAsia" w:ascii="仿宋" w:hAnsi="仿宋" w:eastAsia="仿宋" w:cs="仿宋"/>
          <w:color w:val="auto"/>
          <w:sz w:val="22"/>
          <w:szCs w:val="22"/>
          <w:highlight w:val="none"/>
        </w:rPr>
        <w:t>标人应按照招标文件规定格式填报投标分项报价表</w:t>
      </w:r>
      <w:bookmarkStart w:id="175" w:name="_Hlt26670399"/>
      <w:bookmarkEnd w:id="175"/>
      <w:r>
        <w:rPr>
          <w:rFonts w:hint="eastAsia" w:ascii="仿宋" w:hAnsi="仿宋" w:eastAsia="仿宋" w:cs="仿宋"/>
          <w:color w:val="auto"/>
          <w:sz w:val="22"/>
          <w:szCs w:val="22"/>
          <w:highlight w:val="none"/>
        </w:rPr>
        <w:t>。</w:t>
      </w:r>
    </w:p>
    <w:p w14:paraId="78C234F3">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13.2 投标货币。投标文件中的单价和总价无特殊规定的采用人民币报价，以元为单位标注。招标文件中另有规定的按规定执行。</w:t>
      </w:r>
    </w:p>
    <w:p w14:paraId="0A917A03">
      <w:pPr>
        <w:pStyle w:val="194"/>
        <w:spacing w:before="0" w:after="0" w:line="240" w:lineRule="auto"/>
        <w:ind w:firstLine="361"/>
        <w:rPr>
          <w:rFonts w:ascii="仿宋" w:hAnsi="仿宋" w:eastAsia="仿宋" w:cs="仿宋"/>
          <w:color w:val="auto"/>
          <w:sz w:val="24"/>
          <w:szCs w:val="24"/>
          <w:highlight w:val="none"/>
        </w:rPr>
      </w:pPr>
      <w:bookmarkStart w:id="176" w:name="_Hlt26954731"/>
      <w:bookmarkEnd w:id="176"/>
      <w:bookmarkStart w:id="177" w:name="_Hlt26670425"/>
      <w:bookmarkEnd w:id="177"/>
      <w:bookmarkStart w:id="178" w:name="_Hlt26670403"/>
      <w:bookmarkEnd w:id="178"/>
      <w:bookmarkStart w:id="179" w:name="_Hlt26670486"/>
      <w:bookmarkEnd w:id="179"/>
      <w:bookmarkStart w:id="180" w:name="_Hlt26954844"/>
      <w:bookmarkEnd w:id="180"/>
      <w:bookmarkStart w:id="181" w:name="_Hlt26670482"/>
      <w:bookmarkEnd w:id="181"/>
      <w:bookmarkStart w:id="182" w:name="_Hlt26954842"/>
      <w:bookmarkEnd w:id="182"/>
      <w:bookmarkStart w:id="183" w:name="_Hlt26954848"/>
      <w:bookmarkEnd w:id="183"/>
      <w:bookmarkStart w:id="184" w:name="_Hlt26668983"/>
      <w:bookmarkEnd w:id="184"/>
      <w:bookmarkStart w:id="185" w:name="_Hlt26954846"/>
      <w:bookmarkEnd w:id="185"/>
      <w:r>
        <w:rPr>
          <w:rFonts w:hint="eastAsia" w:ascii="仿宋" w:hAnsi="仿宋" w:eastAsia="仿宋" w:cs="仿宋"/>
          <w:color w:val="auto"/>
          <w:sz w:val="24"/>
          <w:szCs w:val="24"/>
          <w:highlight w:val="none"/>
        </w:rPr>
        <w:t>14.技术要求响应及偏离表、商务要求响应及偏离表</w:t>
      </w:r>
    </w:p>
    <w:p w14:paraId="41108CE5">
      <w:pPr>
        <w:spacing w:line="288" w:lineRule="auto"/>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1</w:t>
      </w:r>
      <w:r>
        <w:rPr>
          <w:rFonts w:hint="eastAsia" w:ascii="仿宋" w:hAnsi="仿宋" w:eastAsia="仿宋" w:cs="仿宋"/>
          <w:color w:val="auto"/>
          <w:sz w:val="22"/>
          <w:szCs w:val="22"/>
          <w:highlight w:val="none"/>
        </w:rPr>
        <w:t>4</w:t>
      </w:r>
      <w:r>
        <w:rPr>
          <w:rFonts w:hint="eastAsia" w:ascii="仿宋" w:hAnsi="仿宋" w:eastAsia="仿宋" w:cs="仿宋"/>
          <w:color w:val="auto"/>
          <w:sz w:val="22"/>
          <w:szCs w:val="22"/>
          <w:highlight w:val="none"/>
          <w:lang w:val="zh-CN"/>
        </w:rPr>
        <w:t>.1 投标人需对招标文件中的技术要求与商务要求逐项作出响应或偏离，并说明原因。</w:t>
      </w:r>
    </w:p>
    <w:p w14:paraId="12EADA60">
      <w:pPr>
        <w:spacing w:line="288" w:lineRule="auto"/>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1</w:t>
      </w:r>
      <w:r>
        <w:rPr>
          <w:rFonts w:hint="eastAsia" w:ascii="仿宋" w:hAnsi="仿宋" w:eastAsia="仿宋" w:cs="仿宋"/>
          <w:color w:val="auto"/>
          <w:sz w:val="22"/>
          <w:szCs w:val="22"/>
          <w:highlight w:val="none"/>
        </w:rPr>
        <w:t>4</w:t>
      </w:r>
      <w:r>
        <w:rPr>
          <w:rFonts w:hint="eastAsia" w:ascii="仿宋" w:hAnsi="仿宋" w:eastAsia="仿宋" w:cs="仿宋"/>
          <w:color w:val="auto"/>
          <w:sz w:val="22"/>
          <w:szCs w:val="22"/>
          <w:highlight w:val="none"/>
          <w:lang w:val="zh-CN"/>
        </w:rPr>
        <w:t>.2 投标人可在投标文件中提供认为需要的其他技术文件或说明。</w:t>
      </w:r>
    </w:p>
    <w:p w14:paraId="28A2F21F">
      <w:pPr>
        <w:pStyle w:val="194"/>
        <w:spacing w:before="0" w:after="0" w:line="240" w:lineRule="auto"/>
        <w:ind w:firstLine="361"/>
        <w:rPr>
          <w:rFonts w:ascii="仿宋" w:hAnsi="仿宋" w:eastAsia="仿宋" w:cs="仿宋"/>
          <w:color w:val="auto"/>
          <w:sz w:val="24"/>
          <w:szCs w:val="24"/>
          <w:highlight w:val="none"/>
        </w:rPr>
      </w:pPr>
      <w:bookmarkStart w:id="186" w:name="_Toc49090510"/>
      <w:bookmarkStart w:id="187" w:name="_Toc14577359"/>
      <w:r>
        <w:rPr>
          <w:rFonts w:hint="eastAsia" w:ascii="仿宋" w:hAnsi="仿宋" w:eastAsia="仿宋" w:cs="仿宋"/>
          <w:color w:val="auto"/>
          <w:sz w:val="24"/>
          <w:szCs w:val="24"/>
          <w:highlight w:val="none"/>
        </w:rPr>
        <w:t>15.投标函和开标一览表</w:t>
      </w:r>
    </w:p>
    <w:p w14:paraId="7E048E66">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15.1 投标人应按照招标文件中提供的格式完整、正确填写投标函、开标一览表。</w:t>
      </w:r>
    </w:p>
    <w:p w14:paraId="5E133531">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15.2 对于采用货币报价的项目，开标一览表中的投标总报价应与投标分项报价表中的投标总报价一致，如不一致，不作为无效投标处理，但评标时按开标一览表中价格为准。</w:t>
      </w:r>
      <w:bookmarkEnd w:id="186"/>
      <w:bookmarkEnd w:id="187"/>
    </w:p>
    <w:p w14:paraId="74F9B7C4">
      <w:pPr>
        <w:pStyle w:val="194"/>
        <w:spacing w:before="0" w:after="0" w:line="240" w:lineRule="auto"/>
        <w:ind w:firstLine="361"/>
        <w:rPr>
          <w:rFonts w:ascii="仿宋" w:hAnsi="仿宋" w:eastAsia="仿宋" w:cs="仿宋"/>
          <w:color w:val="auto"/>
          <w:sz w:val="24"/>
          <w:szCs w:val="24"/>
          <w:highlight w:val="none"/>
        </w:rPr>
      </w:pPr>
      <w:bookmarkStart w:id="188" w:name="_Hlt26954734"/>
      <w:bookmarkEnd w:id="188"/>
      <w:bookmarkStart w:id="189" w:name="_Hlt26670489"/>
      <w:bookmarkEnd w:id="189"/>
      <w:bookmarkStart w:id="190" w:name="_Hlt26954850"/>
      <w:bookmarkEnd w:id="190"/>
      <w:bookmarkStart w:id="191" w:name="_Toc14577360"/>
      <w:bookmarkStart w:id="192" w:name="_Toc49090511"/>
      <w:r>
        <w:rPr>
          <w:rFonts w:hint="eastAsia" w:ascii="仿宋" w:hAnsi="仿宋" w:eastAsia="仿宋" w:cs="仿宋"/>
          <w:color w:val="auto"/>
          <w:sz w:val="24"/>
          <w:szCs w:val="24"/>
          <w:highlight w:val="none"/>
        </w:rPr>
        <w:t>16.投标有效期</w:t>
      </w:r>
      <w:bookmarkEnd w:id="191"/>
      <w:bookmarkEnd w:id="192"/>
    </w:p>
    <w:p w14:paraId="101D3617">
      <w:pPr>
        <w:spacing w:line="288" w:lineRule="auto"/>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rPr>
        <w:t>16.1 投标有效期为招标代理规定的开标之日后</w:t>
      </w:r>
      <w:r>
        <w:rPr>
          <w:rFonts w:hint="eastAsia" w:ascii="仿宋" w:hAnsi="仿宋" w:eastAsia="仿宋" w:cs="仿宋"/>
          <w:b/>
          <w:bCs/>
          <w:color w:val="auto"/>
          <w:sz w:val="22"/>
          <w:szCs w:val="22"/>
          <w:highlight w:val="none"/>
          <w:u w:val="single"/>
        </w:rPr>
        <w:t>六十（60）天</w:t>
      </w:r>
      <w:r>
        <w:rPr>
          <w:rFonts w:hint="eastAsia" w:ascii="仿宋" w:hAnsi="仿宋" w:eastAsia="仿宋" w:cs="仿宋"/>
          <w:color w:val="auto"/>
          <w:sz w:val="22"/>
          <w:szCs w:val="22"/>
          <w:highlight w:val="none"/>
        </w:rPr>
        <w:t>。投标有效期比规定短的将被视为未实质性响应招标文件而予以拒绝。</w:t>
      </w:r>
    </w:p>
    <w:p w14:paraId="59025171">
      <w:pPr>
        <w:pStyle w:val="194"/>
        <w:spacing w:before="0" w:after="0" w:line="240" w:lineRule="auto"/>
        <w:ind w:firstLine="361"/>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17投标有效期的延长</w:t>
      </w:r>
    </w:p>
    <w:p w14:paraId="163294B8">
      <w:pPr>
        <w:spacing w:line="288" w:lineRule="auto"/>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1</w:t>
      </w:r>
      <w:r>
        <w:rPr>
          <w:rFonts w:hint="eastAsia" w:ascii="仿宋" w:hAnsi="仿宋" w:eastAsia="仿宋" w:cs="仿宋"/>
          <w:color w:val="auto"/>
          <w:sz w:val="22"/>
          <w:szCs w:val="22"/>
          <w:highlight w:val="none"/>
        </w:rPr>
        <w:t>7</w:t>
      </w:r>
      <w:r>
        <w:rPr>
          <w:rFonts w:hint="eastAsia" w:ascii="仿宋" w:hAnsi="仿宋" w:eastAsia="仿宋" w:cs="仿宋"/>
          <w:color w:val="auto"/>
          <w:sz w:val="22"/>
          <w:szCs w:val="22"/>
          <w:highlight w:val="none"/>
          <w:lang w:val="zh-CN"/>
        </w:rPr>
        <w:t>.1 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同时受投标有效期约束的所有权利与义务均延长至新的有效期。</w:t>
      </w:r>
      <w:bookmarkStart w:id="193" w:name="_Toc1772"/>
      <w:bookmarkStart w:id="194" w:name="_Toc26450"/>
      <w:bookmarkStart w:id="195" w:name="_Toc453781895"/>
      <w:bookmarkStart w:id="196" w:name="_Toc29101"/>
      <w:bookmarkStart w:id="197" w:name="_Toc3311"/>
      <w:bookmarkStart w:id="198" w:name="_Toc17254"/>
      <w:bookmarkStart w:id="199" w:name="_Toc21072"/>
      <w:bookmarkStart w:id="200" w:name="_Toc23632"/>
      <w:bookmarkStart w:id="201" w:name="_Toc3221"/>
    </w:p>
    <w:p w14:paraId="1D0FEAFB">
      <w:pPr>
        <w:pStyle w:val="194"/>
        <w:spacing w:before="0" w:after="0" w:line="240" w:lineRule="auto"/>
        <w:ind w:firstLine="361"/>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18.投标文件</w:t>
      </w:r>
      <w:r>
        <w:rPr>
          <w:rFonts w:hint="eastAsia" w:ascii="仿宋" w:hAnsi="仿宋" w:eastAsia="仿宋" w:cs="仿宋"/>
          <w:color w:val="auto"/>
          <w:sz w:val="24"/>
          <w:szCs w:val="24"/>
          <w:highlight w:val="none"/>
          <w:lang w:val="en-US" w:eastAsia="zh-CN"/>
        </w:rPr>
        <w:t>的</w:t>
      </w:r>
      <w:r>
        <w:rPr>
          <w:rFonts w:hint="eastAsia" w:ascii="仿宋" w:hAnsi="仿宋" w:eastAsia="仿宋" w:cs="仿宋"/>
          <w:color w:val="auto"/>
          <w:sz w:val="24"/>
          <w:szCs w:val="24"/>
          <w:highlight w:val="none"/>
        </w:rPr>
        <w:t>签署</w:t>
      </w:r>
      <w:bookmarkEnd w:id="193"/>
      <w:bookmarkEnd w:id="194"/>
      <w:bookmarkEnd w:id="195"/>
      <w:bookmarkEnd w:id="196"/>
      <w:bookmarkEnd w:id="197"/>
      <w:bookmarkEnd w:id="198"/>
      <w:bookmarkEnd w:id="199"/>
      <w:bookmarkEnd w:id="200"/>
      <w:bookmarkEnd w:id="201"/>
    </w:p>
    <w:p w14:paraId="72E6B2B8">
      <w:pPr>
        <w:spacing w:line="288" w:lineRule="auto"/>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1</w:t>
      </w:r>
      <w:r>
        <w:rPr>
          <w:rFonts w:hint="eastAsia" w:ascii="仿宋" w:hAnsi="仿宋" w:eastAsia="仿宋" w:cs="仿宋"/>
          <w:color w:val="auto"/>
          <w:sz w:val="22"/>
          <w:szCs w:val="22"/>
          <w:highlight w:val="none"/>
        </w:rPr>
        <w:t>8</w:t>
      </w:r>
      <w:r>
        <w:rPr>
          <w:rFonts w:hint="eastAsia" w:ascii="仿宋" w:hAnsi="仿宋" w:eastAsia="仿宋" w:cs="仿宋"/>
          <w:color w:val="auto"/>
          <w:sz w:val="22"/>
          <w:szCs w:val="22"/>
          <w:highlight w:val="none"/>
          <w:lang w:val="zh-CN"/>
        </w:rPr>
        <w:t>.1 投标文件须经法定代表人或授权代表签署和加盖投标人公章。本招标文件所表述（指定）的公章是指法定名称章，不包括合同专用章、业务专用章等印章。</w:t>
      </w:r>
    </w:p>
    <w:p w14:paraId="4A49055F">
      <w:pPr>
        <w:spacing w:line="288" w:lineRule="auto"/>
        <w:ind w:firstLine="440"/>
        <w:rPr>
          <w:rFonts w:ascii="仿宋" w:hAnsi="仿宋" w:eastAsia="仿宋"/>
          <w:color w:val="auto"/>
          <w:sz w:val="24"/>
          <w:szCs w:val="24"/>
          <w:highlight w:val="none"/>
        </w:rPr>
      </w:pPr>
      <w:r>
        <w:rPr>
          <w:rFonts w:hint="eastAsia" w:ascii="仿宋" w:hAnsi="仿宋" w:eastAsia="仿宋" w:cs="仿宋"/>
          <w:color w:val="auto"/>
          <w:sz w:val="22"/>
          <w:szCs w:val="22"/>
          <w:highlight w:val="none"/>
          <w:lang w:val="zh-CN"/>
        </w:rPr>
        <w:t>1</w:t>
      </w:r>
      <w:r>
        <w:rPr>
          <w:rFonts w:hint="eastAsia" w:ascii="仿宋" w:hAnsi="仿宋" w:eastAsia="仿宋" w:cs="仿宋"/>
          <w:color w:val="auto"/>
          <w:sz w:val="22"/>
          <w:szCs w:val="22"/>
          <w:highlight w:val="none"/>
        </w:rPr>
        <w:t>8</w:t>
      </w: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lang w:val="en-US" w:eastAsia="zh-CN"/>
        </w:rPr>
        <w:t>2</w:t>
      </w:r>
      <w:r>
        <w:rPr>
          <w:rFonts w:hint="eastAsia" w:ascii="仿宋" w:hAnsi="仿宋" w:eastAsia="仿宋" w:cs="仿宋"/>
          <w:color w:val="auto"/>
          <w:sz w:val="22"/>
          <w:szCs w:val="22"/>
          <w:highlight w:val="none"/>
          <w:lang w:val="zh-CN"/>
        </w:rPr>
        <w:t xml:space="preserve"> 除投标人对错处做必要修改外，投标文件不得行间插字、涂改或增删。如有修改错漏处，必须由投标文件签署人签字或盖章。</w:t>
      </w:r>
    </w:p>
    <w:p w14:paraId="7FCB6C27">
      <w:pPr>
        <w:pStyle w:val="192"/>
        <w:spacing w:before="0" w:after="0" w:line="360" w:lineRule="exact"/>
        <w:ind w:firstLine="498"/>
        <w:rPr>
          <w:rFonts w:ascii="仿宋" w:hAnsi="仿宋" w:eastAsia="仿宋" w:cs="仿宋"/>
          <w:color w:val="auto"/>
          <w:highlight w:val="none"/>
        </w:rPr>
      </w:pPr>
      <w:bookmarkStart w:id="202" w:name="_Hlt26954739"/>
      <w:bookmarkEnd w:id="202"/>
      <w:bookmarkStart w:id="203" w:name="_Hlt26954852"/>
      <w:bookmarkEnd w:id="203"/>
      <w:bookmarkStart w:id="204" w:name="_Toc16938540"/>
      <w:bookmarkStart w:id="205" w:name="_Toc6968"/>
      <w:bookmarkStart w:id="206" w:name="_Toc17812"/>
      <w:bookmarkStart w:id="207" w:name="_Toc513029224"/>
      <w:bookmarkStart w:id="208" w:name="_Toc20823296"/>
      <w:bookmarkStart w:id="209" w:name="_Toc120614217"/>
      <w:bookmarkStart w:id="210" w:name="_Toc21564"/>
      <w:r>
        <w:rPr>
          <w:rFonts w:hint="eastAsia" w:ascii="仿宋" w:hAnsi="仿宋" w:eastAsia="仿宋" w:cs="仿宋"/>
          <w:color w:val="auto"/>
          <w:highlight w:val="none"/>
        </w:rPr>
        <w:t>四、投标文件的递交</w:t>
      </w:r>
      <w:bookmarkEnd w:id="204"/>
      <w:bookmarkEnd w:id="205"/>
      <w:bookmarkEnd w:id="206"/>
      <w:bookmarkEnd w:id="207"/>
      <w:bookmarkEnd w:id="208"/>
      <w:bookmarkEnd w:id="209"/>
      <w:bookmarkEnd w:id="210"/>
    </w:p>
    <w:p w14:paraId="33801929">
      <w:pPr>
        <w:pStyle w:val="194"/>
        <w:spacing w:before="0" w:after="0" w:line="360" w:lineRule="exact"/>
        <w:ind w:firstLine="361"/>
        <w:rPr>
          <w:rFonts w:hint="eastAsia" w:ascii="仿宋" w:hAnsi="仿宋" w:eastAsia="仿宋" w:cs="仿宋"/>
          <w:bCs/>
          <w:color w:val="auto"/>
          <w:sz w:val="24"/>
          <w:szCs w:val="24"/>
          <w:highlight w:val="none"/>
        </w:rPr>
      </w:pPr>
      <w:bookmarkStart w:id="211" w:name="_Toc5198"/>
      <w:bookmarkStart w:id="212" w:name="_Toc2792"/>
      <w:bookmarkStart w:id="213" w:name="_Toc10597"/>
      <w:bookmarkStart w:id="214" w:name="_Toc4062"/>
      <w:bookmarkStart w:id="215" w:name="_Toc2314"/>
      <w:bookmarkStart w:id="216" w:name="_Toc30326"/>
      <w:bookmarkStart w:id="217" w:name="_Toc21137"/>
      <w:bookmarkStart w:id="218" w:name="_Toc1292"/>
      <w:bookmarkStart w:id="219" w:name="_Toc453781897"/>
      <w:bookmarkStart w:id="220" w:name="_Toc16938542"/>
      <w:bookmarkStart w:id="221" w:name="_Toc513029226"/>
      <w:bookmarkStart w:id="222" w:name="_Toc20823298"/>
      <w:r>
        <w:rPr>
          <w:rFonts w:hint="eastAsia" w:ascii="仿宋" w:hAnsi="仿宋" w:eastAsia="仿宋" w:cs="仿宋"/>
          <w:color w:val="auto"/>
          <w:sz w:val="24"/>
          <w:szCs w:val="24"/>
          <w:highlight w:val="none"/>
        </w:rPr>
        <w:t>19.</w:t>
      </w:r>
      <w:r>
        <w:rPr>
          <w:rFonts w:hint="eastAsia" w:ascii="仿宋" w:hAnsi="仿宋" w:eastAsia="仿宋" w:cs="仿宋"/>
          <w:bCs/>
          <w:color w:val="auto"/>
          <w:sz w:val="24"/>
          <w:szCs w:val="24"/>
          <w:highlight w:val="none"/>
        </w:rPr>
        <w:t>电子投标文件的递交</w:t>
      </w:r>
    </w:p>
    <w:p w14:paraId="3CB9C7C3">
      <w:pPr>
        <w:spacing w:line="360" w:lineRule="exact"/>
        <w:ind w:firstLine="440"/>
        <w:rPr>
          <w:rFonts w:ascii="仿宋" w:hAnsi="仿宋" w:eastAsia="仿宋"/>
          <w:color w:val="auto"/>
          <w:sz w:val="24"/>
          <w:szCs w:val="24"/>
          <w:highlight w:val="none"/>
        </w:rPr>
      </w:pPr>
      <w:r>
        <w:rPr>
          <w:rFonts w:hint="eastAsia" w:ascii="仿宋" w:hAnsi="仿宋" w:eastAsia="仿宋" w:cs="仿宋"/>
          <w:bCs w:val="0"/>
          <w:color w:val="auto"/>
          <w:sz w:val="22"/>
          <w:szCs w:val="22"/>
          <w:highlight w:val="none"/>
          <w:lang w:val="zh-CN"/>
        </w:rPr>
        <w:t>投标人应当按照《操作手册》规定，在投标截止时间前制作并上传电子投标文件。</w:t>
      </w:r>
      <w:bookmarkEnd w:id="211"/>
      <w:bookmarkEnd w:id="212"/>
      <w:bookmarkEnd w:id="213"/>
      <w:bookmarkEnd w:id="214"/>
      <w:bookmarkEnd w:id="215"/>
      <w:bookmarkEnd w:id="216"/>
      <w:bookmarkEnd w:id="217"/>
      <w:bookmarkEnd w:id="218"/>
      <w:bookmarkEnd w:id="219"/>
    </w:p>
    <w:p w14:paraId="64C852F0">
      <w:pPr>
        <w:pStyle w:val="194"/>
        <w:spacing w:before="0" w:after="0" w:line="360" w:lineRule="exact"/>
        <w:ind w:firstLine="361"/>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20.投标截止</w:t>
      </w:r>
      <w:bookmarkEnd w:id="220"/>
      <w:bookmarkEnd w:id="221"/>
      <w:bookmarkEnd w:id="222"/>
      <w:r>
        <w:rPr>
          <w:rFonts w:hint="eastAsia" w:ascii="仿宋" w:hAnsi="仿宋" w:eastAsia="仿宋" w:cs="仿宋"/>
          <w:color w:val="auto"/>
          <w:sz w:val="24"/>
          <w:szCs w:val="24"/>
          <w:highlight w:val="none"/>
        </w:rPr>
        <w:t>时间</w:t>
      </w:r>
    </w:p>
    <w:p w14:paraId="1BD0FFED">
      <w:pPr>
        <w:spacing w:line="360" w:lineRule="exact"/>
        <w:ind w:firstLine="440"/>
        <w:rPr>
          <w:rFonts w:hint="eastAsia" w:ascii="仿宋" w:hAnsi="仿宋" w:eastAsia="仿宋" w:cs="仿宋"/>
          <w:color w:val="auto"/>
          <w:sz w:val="22"/>
          <w:szCs w:val="22"/>
          <w:highlight w:val="none"/>
          <w:lang w:val="zh-CN"/>
        </w:rPr>
      </w:pPr>
      <w:bookmarkStart w:id="223" w:name="_Toc20823299"/>
      <w:bookmarkStart w:id="224" w:name="_Toc513029227"/>
      <w:bookmarkStart w:id="225" w:name="_Toc16938543"/>
      <w:r>
        <w:rPr>
          <w:rFonts w:hint="eastAsia" w:ascii="仿宋" w:hAnsi="仿宋" w:eastAsia="仿宋" w:cs="仿宋"/>
          <w:color w:val="auto"/>
          <w:sz w:val="22"/>
          <w:szCs w:val="22"/>
          <w:highlight w:val="none"/>
        </w:rPr>
        <w:t>20</w:t>
      </w:r>
      <w:r>
        <w:rPr>
          <w:rFonts w:hint="eastAsia" w:ascii="仿宋" w:hAnsi="仿宋" w:eastAsia="仿宋" w:cs="仿宋"/>
          <w:color w:val="auto"/>
          <w:sz w:val="22"/>
          <w:szCs w:val="22"/>
          <w:highlight w:val="none"/>
          <w:lang w:val="zh-CN"/>
        </w:rPr>
        <w:t>.1 投标人上传电子投标文件的时间不得迟于招标公告中规定的投标截止时间。</w:t>
      </w:r>
    </w:p>
    <w:p w14:paraId="6F65601D">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bCs w:val="0"/>
          <w:color w:val="auto"/>
          <w:sz w:val="22"/>
          <w:szCs w:val="22"/>
          <w:highlight w:val="none"/>
          <w:lang w:val="zh-CN"/>
        </w:rPr>
        <w:t>投标人应充分考虑到网络环境、网络带宽等风险因素，如因投标人自身原因造成的电子投标文件上传不成功的做无效投标处理。</w:t>
      </w:r>
    </w:p>
    <w:p w14:paraId="4961613E">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20</w:t>
      </w:r>
      <w:r>
        <w:rPr>
          <w:rFonts w:hint="eastAsia" w:ascii="仿宋" w:hAnsi="仿宋" w:eastAsia="仿宋" w:cs="仿宋"/>
          <w:color w:val="auto"/>
          <w:sz w:val="22"/>
          <w:szCs w:val="22"/>
          <w:highlight w:val="none"/>
          <w:lang w:val="zh-CN"/>
        </w:rPr>
        <w:t>.2 招标代理机构可以按照规定，通过修改招标文件有权酌情延长投标截止日期，在此情况下，投标人的所有权利和义务以及投标人受制的截止日期均应以延长后新的截止日期为准。</w:t>
      </w:r>
    </w:p>
    <w:p w14:paraId="4FFAFB43">
      <w:pPr>
        <w:pStyle w:val="194"/>
        <w:spacing w:before="0" w:after="0" w:line="360" w:lineRule="exact"/>
        <w:ind w:firstLine="361"/>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21.投标文件</w:t>
      </w:r>
      <w:bookmarkEnd w:id="223"/>
      <w:bookmarkEnd w:id="224"/>
      <w:bookmarkEnd w:id="225"/>
      <w:r>
        <w:rPr>
          <w:rFonts w:hint="eastAsia" w:ascii="仿宋" w:hAnsi="仿宋" w:eastAsia="仿宋" w:cs="仿宋"/>
          <w:color w:val="auto"/>
          <w:sz w:val="24"/>
          <w:szCs w:val="24"/>
          <w:highlight w:val="none"/>
        </w:rPr>
        <w:t>的拒收</w:t>
      </w:r>
    </w:p>
    <w:p w14:paraId="12E0BE9A">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21</w:t>
      </w:r>
      <w:r>
        <w:rPr>
          <w:rFonts w:hint="eastAsia" w:ascii="仿宋" w:hAnsi="仿宋" w:eastAsia="仿宋" w:cs="仿宋"/>
          <w:color w:val="auto"/>
          <w:sz w:val="22"/>
          <w:szCs w:val="22"/>
          <w:highlight w:val="none"/>
          <w:lang w:val="zh-CN"/>
        </w:rPr>
        <w:t>.1招标代理拒绝接收在其规定的投标截止时间后</w:t>
      </w:r>
      <w:r>
        <w:rPr>
          <w:rFonts w:hint="eastAsia" w:ascii="仿宋" w:hAnsi="仿宋" w:eastAsia="仿宋" w:cs="仿宋"/>
          <w:color w:val="auto"/>
          <w:sz w:val="22"/>
          <w:szCs w:val="22"/>
          <w:highlight w:val="none"/>
          <w:lang w:val="en-US" w:eastAsia="zh-CN"/>
        </w:rPr>
        <w:t>上传</w:t>
      </w:r>
      <w:r>
        <w:rPr>
          <w:rFonts w:hint="eastAsia" w:ascii="仿宋" w:hAnsi="仿宋" w:eastAsia="仿宋" w:cs="仿宋"/>
          <w:color w:val="auto"/>
          <w:sz w:val="22"/>
          <w:szCs w:val="22"/>
          <w:highlight w:val="none"/>
          <w:lang w:val="zh-CN"/>
        </w:rPr>
        <w:t>的任何投标文件。</w:t>
      </w:r>
    </w:p>
    <w:p w14:paraId="6014F1DB">
      <w:pPr>
        <w:pStyle w:val="194"/>
        <w:spacing w:before="0" w:after="0" w:line="360" w:lineRule="exact"/>
        <w:ind w:firstLine="361"/>
        <w:rPr>
          <w:rFonts w:ascii="仿宋" w:hAnsi="仿宋" w:eastAsia="仿宋" w:cs="仿宋"/>
          <w:color w:val="auto"/>
          <w:sz w:val="24"/>
          <w:szCs w:val="24"/>
          <w:highlight w:val="none"/>
        </w:rPr>
      </w:pPr>
      <w:bookmarkStart w:id="226" w:name="_Toc24846"/>
      <w:bookmarkStart w:id="227" w:name="_Toc13147"/>
      <w:bookmarkStart w:id="228" w:name="_Toc32741"/>
      <w:bookmarkStart w:id="229" w:name="_Toc28912"/>
      <w:bookmarkStart w:id="230" w:name="_Toc12489"/>
      <w:bookmarkStart w:id="231" w:name="_Toc30437"/>
      <w:bookmarkStart w:id="232" w:name="_Toc27247"/>
      <w:bookmarkStart w:id="233" w:name="_Toc453781900"/>
      <w:bookmarkStart w:id="234" w:name="_Toc7363"/>
      <w:bookmarkStart w:id="235" w:name="_Toc16938544"/>
      <w:bookmarkStart w:id="236" w:name="_Toc20823300"/>
      <w:bookmarkStart w:id="237" w:name="_Toc513029228"/>
      <w:r>
        <w:rPr>
          <w:rFonts w:hint="eastAsia" w:ascii="仿宋" w:hAnsi="仿宋" w:eastAsia="仿宋" w:cs="仿宋"/>
          <w:color w:val="auto"/>
          <w:sz w:val="24"/>
          <w:szCs w:val="24"/>
          <w:highlight w:val="none"/>
        </w:rPr>
        <w:t>22.投标文件的修改和撤回</w:t>
      </w:r>
      <w:bookmarkEnd w:id="226"/>
      <w:bookmarkEnd w:id="227"/>
      <w:bookmarkEnd w:id="228"/>
      <w:bookmarkEnd w:id="229"/>
      <w:bookmarkEnd w:id="230"/>
      <w:bookmarkEnd w:id="231"/>
      <w:bookmarkEnd w:id="232"/>
      <w:bookmarkEnd w:id="233"/>
      <w:bookmarkEnd w:id="234"/>
    </w:p>
    <w:p w14:paraId="2EF89B72">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val="zh-CN"/>
        </w:rPr>
        <w:t>.1 投标人可在投标截止时间前，撤回其电子投标文件，具体操作方法见《操作手册》。</w:t>
      </w:r>
    </w:p>
    <w:p w14:paraId="566D635F">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val="zh-CN"/>
        </w:rPr>
        <w:t>.2 投标人撤回电子投标文件，则认为其不再参与本项目投标活动。</w:t>
      </w:r>
    </w:p>
    <w:p w14:paraId="1EAE4C8C">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val="zh-CN"/>
        </w:rPr>
        <w:t>.3 投标人可在投标截止时间前，对其电子投标文件进行修改，具体操作方法见《操作手册》。在投标截止时间之后，投标人不得对其</w:t>
      </w:r>
      <w:r>
        <w:rPr>
          <w:rFonts w:hint="eastAsia" w:ascii="仿宋" w:hAnsi="仿宋" w:eastAsia="仿宋" w:cs="仿宋"/>
          <w:color w:val="auto"/>
          <w:sz w:val="22"/>
          <w:szCs w:val="22"/>
          <w:highlight w:val="none"/>
          <w:lang w:val="en-US" w:eastAsia="zh-CN"/>
        </w:rPr>
        <w:t>电子</w:t>
      </w:r>
      <w:r>
        <w:rPr>
          <w:rFonts w:hint="eastAsia" w:ascii="仿宋" w:hAnsi="仿宋" w:eastAsia="仿宋" w:cs="仿宋"/>
          <w:color w:val="auto"/>
          <w:sz w:val="22"/>
          <w:szCs w:val="22"/>
          <w:highlight w:val="none"/>
          <w:lang w:val="zh-CN"/>
        </w:rPr>
        <w:t>投标文件作任何修改。</w:t>
      </w:r>
    </w:p>
    <w:p w14:paraId="2A9DFC26">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val="zh-CN"/>
        </w:rPr>
        <w:t>.4 在投标截止时间至招标文件中规定的投标有效期满之间的这段时间内，投标人不得撤回其投标。</w:t>
      </w:r>
      <w:bookmarkEnd w:id="235"/>
      <w:bookmarkEnd w:id="236"/>
      <w:bookmarkEnd w:id="237"/>
    </w:p>
    <w:p w14:paraId="77C5DE30">
      <w:pPr>
        <w:pStyle w:val="192"/>
        <w:spacing w:before="0" w:after="0" w:line="360" w:lineRule="exact"/>
        <w:ind w:firstLine="498"/>
        <w:rPr>
          <w:rFonts w:ascii="仿宋" w:hAnsi="仿宋" w:eastAsia="仿宋" w:cs="仿宋"/>
          <w:color w:val="auto"/>
          <w:highlight w:val="none"/>
        </w:rPr>
      </w:pPr>
      <w:bookmarkStart w:id="238" w:name="_Toc16938545"/>
      <w:bookmarkStart w:id="239" w:name="_Toc120614218"/>
      <w:bookmarkStart w:id="240" w:name="_Toc513029229"/>
      <w:bookmarkStart w:id="241" w:name="_Toc17586"/>
      <w:bookmarkStart w:id="242" w:name="_Toc16292"/>
      <w:bookmarkStart w:id="243" w:name="_Toc20823301"/>
      <w:bookmarkStart w:id="244" w:name="_Toc29781"/>
      <w:r>
        <w:rPr>
          <w:rFonts w:hint="eastAsia" w:ascii="仿宋" w:hAnsi="仿宋" w:eastAsia="仿宋" w:cs="仿宋"/>
          <w:color w:val="auto"/>
          <w:highlight w:val="none"/>
        </w:rPr>
        <w:t>五、开标与评标</w:t>
      </w:r>
      <w:bookmarkEnd w:id="238"/>
      <w:bookmarkEnd w:id="239"/>
      <w:bookmarkEnd w:id="240"/>
      <w:bookmarkEnd w:id="241"/>
      <w:bookmarkEnd w:id="242"/>
      <w:bookmarkEnd w:id="243"/>
      <w:bookmarkEnd w:id="244"/>
    </w:p>
    <w:p w14:paraId="7771032B">
      <w:pPr>
        <w:pStyle w:val="194"/>
        <w:spacing w:before="0" w:after="0" w:line="360" w:lineRule="exact"/>
        <w:ind w:firstLine="361"/>
        <w:rPr>
          <w:rFonts w:ascii="仿宋" w:hAnsi="仿宋" w:eastAsia="仿宋" w:cs="仿宋"/>
          <w:color w:val="auto"/>
          <w:sz w:val="24"/>
          <w:szCs w:val="24"/>
          <w:highlight w:val="none"/>
        </w:rPr>
      </w:pPr>
      <w:bookmarkStart w:id="245" w:name="_Toc20823302"/>
      <w:bookmarkStart w:id="246" w:name="_Toc513029230"/>
      <w:bookmarkStart w:id="247" w:name="_Toc16938546"/>
      <w:r>
        <w:rPr>
          <w:rFonts w:hint="eastAsia" w:ascii="仿宋" w:hAnsi="仿宋" w:eastAsia="仿宋" w:cs="仿宋"/>
          <w:color w:val="auto"/>
          <w:sz w:val="24"/>
          <w:szCs w:val="24"/>
          <w:highlight w:val="none"/>
        </w:rPr>
        <w:t>23.开标</w:t>
      </w:r>
      <w:bookmarkEnd w:id="245"/>
      <w:bookmarkEnd w:id="246"/>
      <w:bookmarkEnd w:id="247"/>
    </w:p>
    <w:p w14:paraId="2BC2E730">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3</w:t>
      </w:r>
      <w:r>
        <w:rPr>
          <w:rFonts w:hint="eastAsia" w:ascii="仿宋" w:hAnsi="仿宋" w:eastAsia="仿宋" w:cs="仿宋"/>
          <w:color w:val="auto"/>
          <w:sz w:val="22"/>
          <w:szCs w:val="22"/>
          <w:highlight w:val="none"/>
          <w:lang w:val="zh-CN"/>
        </w:rPr>
        <w:t>.1 招标代理将在招标公告中规定的时间和地点组织公开开标。投标人应当按照《操作手册》规定，参加开标活动和在苏采云系统规定的时间内对投标文件进行解密。</w:t>
      </w:r>
    </w:p>
    <w:p w14:paraId="7F3A3D7B">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3</w:t>
      </w:r>
      <w:r>
        <w:rPr>
          <w:rFonts w:hint="eastAsia" w:ascii="仿宋" w:hAnsi="仿宋" w:eastAsia="仿宋" w:cs="仿宋"/>
          <w:color w:val="auto"/>
          <w:sz w:val="22"/>
          <w:szCs w:val="22"/>
          <w:highlight w:val="none"/>
          <w:lang w:val="zh-CN"/>
        </w:rPr>
        <w:t>.2开标仪式由招标代理组织。苏采云系统将自动对项目进行开标，并宣布各投标人名称和投标价格。</w:t>
      </w:r>
    </w:p>
    <w:p w14:paraId="08837424">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3</w:t>
      </w:r>
      <w:r>
        <w:rPr>
          <w:rFonts w:hint="eastAsia" w:ascii="仿宋" w:hAnsi="仿宋" w:eastAsia="仿宋" w:cs="仿宋"/>
          <w:color w:val="auto"/>
          <w:sz w:val="22"/>
          <w:szCs w:val="22"/>
          <w:highlight w:val="none"/>
          <w:lang w:val="zh-CN"/>
        </w:rPr>
        <w:t>.4 投标人在开标过程中涉及到的投标文件解密、开标结果确认等工作，应按照《操作手册》规定执行。</w:t>
      </w:r>
    </w:p>
    <w:p w14:paraId="2C828ECD">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3</w:t>
      </w:r>
      <w:r>
        <w:rPr>
          <w:rFonts w:hint="eastAsia" w:ascii="仿宋" w:hAnsi="仿宋" w:eastAsia="仿宋" w:cs="仿宋"/>
          <w:color w:val="auto"/>
          <w:sz w:val="22"/>
          <w:szCs w:val="22"/>
          <w:highlight w:val="none"/>
          <w:lang w:val="zh-CN"/>
        </w:rPr>
        <w:t>.5 投标人如果对开标过程和开标记录有疑义，应当根据《操作手册》规定提出，如苏采云系统中《开标记录表》宣布后5分钟内未提出的，视同认可开标结果。</w:t>
      </w:r>
    </w:p>
    <w:p w14:paraId="31A8AF1F">
      <w:pPr>
        <w:spacing w:line="360" w:lineRule="exact"/>
        <w:ind w:firstLine="440"/>
        <w:rPr>
          <w:rFonts w:ascii="仿宋" w:hAnsi="仿宋" w:eastAsia="仿宋"/>
          <w:color w:val="auto"/>
          <w:sz w:val="24"/>
          <w:szCs w:val="24"/>
          <w:highlight w:val="none"/>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3</w:t>
      </w:r>
      <w:r>
        <w:rPr>
          <w:rFonts w:hint="eastAsia" w:ascii="仿宋" w:hAnsi="仿宋" w:eastAsia="仿宋" w:cs="仿宋"/>
          <w:color w:val="auto"/>
          <w:sz w:val="22"/>
          <w:szCs w:val="22"/>
          <w:highlight w:val="none"/>
          <w:lang w:val="zh-CN"/>
        </w:rPr>
        <w:t>.6 投标人在报价时不允许采用选择性报价，否则将被视为无效投标。</w:t>
      </w:r>
    </w:p>
    <w:p w14:paraId="72D2C2AF">
      <w:pPr>
        <w:pStyle w:val="194"/>
        <w:spacing w:before="0" w:after="0" w:line="360" w:lineRule="exact"/>
        <w:ind w:firstLine="361"/>
        <w:rPr>
          <w:rFonts w:ascii="仿宋" w:hAnsi="仿宋" w:eastAsia="仿宋" w:cs="仿宋"/>
          <w:color w:val="auto"/>
          <w:sz w:val="24"/>
          <w:szCs w:val="24"/>
          <w:highlight w:val="none"/>
        </w:rPr>
      </w:pPr>
      <w:bookmarkStart w:id="248" w:name="_Toc16938547"/>
      <w:bookmarkStart w:id="249" w:name="_Toc513029231"/>
      <w:bookmarkStart w:id="250" w:name="_Toc20823303"/>
      <w:r>
        <w:rPr>
          <w:rFonts w:hint="eastAsia" w:ascii="仿宋" w:hAnsi="仿宋" w:eastAsia="仿宋" w:cs="仿宋"/>
          <w:color w:val="auto"/>
          <w:sz w:val="24"/>
          <w:szCs w:val="24"/>
          <w:highlight w:val="none"/>
        </w:rPr>
        <w:t>24.评标委员会</w:t>
      </w:r>
    </w:p>
    <w:p w14:paraId="2F7BCDE2">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4</w:t>
      </w:r>
      <w:r>
        <w:rPr>
          <w:rFonts w:hint="eastAsia" w:ascii="仿宋" w:hAnsi="仿宋" w:eastAsia="仿宋" w:cs="仿宋"/>
          <w:color w:val="auto"/>
          <w:sz w:val="22"/>
          <w:szCs w:val="22"/>
          <w:highlight w:val="none"/>
          <w:lang w:val="zh-CN"/>
        </w:rPr>
        <w:t>.1 开标后，招标代理将立即组织评标委员会（以下简称评标委员会）进行评标。</w:t>
      </w:r>
    </w:p>
    <w:p w14:paraId="64CA4A81">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4</w:t>
      </w:r>
      <w:r>
        <w:rPr>
          <w:rFonts w:hint="eastAsia" w:ascii="仿宋" w:hAnsi="仿宋" w:eastAsia="仿宋" w:cs="仿宋"/>
          <w:color w:val="auto"/>
          <w:sz w:val="22"/>
          <w:szCs w:val="22"/>
          <w:highlight w:val="none"/>
          <w:lang w:val="zh-CN"/>
        </w:rPr>
        <w:t>.2 评标委员会由采购人代表和有关技术、经济等方面的专家组成，且人员构成符合政府采购有关规定。</w:t>
      </w:r>
    </w:p>
    <w:p w14:paraId="4139FDDD">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4</w:t>
      </w:r>
      <w:r>
        <w:rPr>
          <w:rFonts w:hint="eastAsia" w:ascii="仿宋" w:hAnsi="仿宋" w:eastAsia="仿宋" w:cs="仿宋"/>
          <w:color w:val="auto"/>
          <w:sz w:val="22"/>
          <w:szCs w:val="22"/>
          <w:highlight w:val="none"/>
          <w:lang w:val="zh-CN"/>
        </w:rPr>
        <w:t>.3</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rPr>
        <w:t>评标委员会独立工作，负责评审所有投标文件并</w:t>
      </w:r>
      <w:r>
        <w:rPr>
          <w:rFonts w:hint="eastAsia" w:ascii="仿宋" w:hAnsi="仿宋" w:eastAsia="仿宋" w:cs="仿宋"/>
          <w:color w:val="auto"/>
          <w:sz w:val="22"/>
          <w:szCs w:val="22"/>
          <w:highlight w:val="none"/>
        </w:rPr>
        <w:t>推荐</w:t>
      </w:r>
      <w:r>
        <w:rPr>
          <w:rFonts w:hint="eastAsia" w:ascii="仿宋" w:hAnsi="仿宋" w:eastAsia="仿宋" w:cs="仿宋"/>
          <w:color w:val="auto"/>
          <w:sz w:val="22"/>
          <w:szCs w:val="22"/>
          <w:highlight w:val="none"/>
          <w:lang w:val="zh-CN"/>
        </w:rPr>
        <w:t>中标</w:t>
      </w:r>
      <w:r>
        <w:rPr>
          <w:rFonts w:hint="eastAsia" w:ascii="仿宋" w:hAnsi="仿宋" w:eastAsia="仿宋" w:cs="仿宋"/>
          <w:color w:val="auto"/>
          <w:sz w:val="22"/>
          <w:szCs w:val="22"/>
          <w:highlight w:val="none"/>
          <w:lang w:val="en-US" w:eastAsia="zh-CN"/>
        </w:rPr>
        <w:t>候</w:t>
      </w:r>
      <w:r>
        <w:rPr>
          <w:rFonts w:hint="eastAsia" w:ascii="仿宋" w:hAnsi="仿宋" w:eastAsia="仿宋" w:cs="仿宋"/>
          <w:color w:val="auto"/>
          <w:sz w:val="22"/>
          <w:szCs w:val="22"/>
          <w:highlight w:val="none"/>
          <w:lang w:val="zh-CN"/>
        </w:rPr>
        <w:t>选人。</w:t>
      </w:r>
    </w:p>
    <w:p w14:paraId="7FC07A24">
      <w:pPr>
        <w:pStyle w:val="194"/>
        <w:spacing w:before="0" w:after="0" w:line="360" w:lineRule="exact"/>
        <w:ind w:firstLine="361"/>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25.评标过程的保密与公正</w:t>
      </w:r>
      <w:bookmarkEnd w:id="248"/>
      <w:bookmarkEnd w:id="249"/>
      <w:bookmarkEnd w:id="250"/>
    </w:p>
    <w:p w14:paraId="2C76B9C4">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5</w:t>
      </w:r>
      <w:r>
        <w:rPr>
          <w:rFonts w:hint="eastAsia" w:ascii="仿宋" w:hAnsi="仿宋" w:eastAsia="仿宋" w:cs="仿宋"/>
          <w:color w:val="auto"/>
          <w:sz w:val="22"/>
          <w:szCs w:val="22"/>
          <w:highlight w:val="none"/>
          <w:lang w:val="zh-CN"/>
        </w:rPr>
        <w:t>.1</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rPr>
        <w:t>公开开标后，直至向中标的投标人授予合同时止，凡是与审查、澄清、评价和本次投标的有关资料以及授标建议等，采购人、评委、招标代理均不得向投标人或与评标无关的其他人员透露。</w:t>
      </w:r>
    </w:p>
    <w:p w14:paraId="3B91B705">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5</w:t>
      </w: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rPr>
        <w:t>在评标过程中，投标人不得以任何行为影响评标过程，否则其投标文件将被作为无效投标文件。</w:t>
      </w:r>
    </w:p>
    <w:p w14:paraId="64690C4C">
      <w:pPr>
        <w:spacing w:line="360" w:lineRule="exact"/>
        <w:ind w:firstLine="440"/>
        <w:rPr>
          <w:rFonts w:ascii="仿宋" w:hAnsi="仿宋" w:eastAsia="仿宋" w:cs="仿宋"/>
          <w:color w:val="auto"/>
          <w:sz w:val="24"/>
          <w:szCs w:val="24"/>
          <w:highlight w:val="none"/>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5</w:t>
      </w:r>
      <w:r>
        <w:rPr>
          <w:rFonts w:hint="eastAsia" w:ascii="仿宋" w:hAnsi="仿宋" w:eastAsia="仿宋" w:cs="仿宋"/>
          <w:color w:val="auto"/>
          <w:sz w:val="22"/>
          <w:szCs w:val="22"/>
          <w:highlight w:val="none"/>
          <w:lang w:val="zh-CN"/>
        </w:rPr>
        <w:t>.3 招标代理和评标委员会不向未中标的投标人解释未中标原因，也不公布评标过程中的相关细节。</w:t>
      </w:r>
    </w:p>
    <w:p w14:paraId="3C9E15E7">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5</w:t>
      </w:r>
      <w:r>
        <w:rPr>
          <w:rFonts w:hint="eastAsia" w:ascii="仿宋" w:hAnsi="仿宋" w:eastAsia="仿宋" w:cs="仿宋"/>
          <w:color w:val="auto"/>
          <w:sz w:val="22"/>
          <w:szCs w:val="22"/>
          <w:highlight w:val="none"/>
          <w:lang w:val="zh-CN"/>
        </w:rPr>
        <w:t>.4 采用综合评分法的项目，未中标的投标人可于中标结果公告期限届满之日起通过苏采云系统查看自己的评审得分及排序情况。</w:t>
      </w:r>
    </w:p>
    <w:p w14:paraId="3EB0C4D8">
      <w:pPr>
        <w:pStyle w:val="194"/>
        <w:spacing w:before="0" w:after="0" w:line="360" w:lineRule="exact"/>
        <w:ind w:firstLine="361"/>
        <w:rPr>
          <w:rFonts w:ascii="仿宋" w:hAnsi="仿宋" w:eastAsia="仿宋" w:cs="仿宋"/>
          <w:color w:val="auto"/>
          <w:sz w:val="24"/>
          <w:szCs w:val="24"/>
          <w:highlight w:val="none"/>
        </w:rPr>
      </w:pPr>
      <w:bookmarkStart w:id="251" w:name="_Toc16938548"/>
      <w:bookmarkStart w:id="252" w:name="_Toc513029232"/>
      <w:bookmarkStart w:id="253" w:name="_Toc20823304"/>
      <w:r>
        <w:rPr>
          <w:rFonts w:hint="eastAsia" w:ascii="仿宋" w:hAnsi="仿宋" w:eastAsia="仿宋" w:cs="仿宋"/>
          <w:color w:val="auto"/>
          <w:sz w:val="24"/>
          <w:szCs w:val="24"/>
          <w:highlight w:val="none"/>
        </w:rPr>
        <w:t>26.投标文件的澄清</w:t>
      </w:r>
      <w:bookmarkEnd w:id="251"/>
      <w:bookmarkEnd w:id="252"/>
      <w:bookmarkEnd w:id="253"/>
    </w:p>
    <w:p w14:paraId="7B16B60C">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6</w:t>
      </w:r>
      <w:r>
        <w:rPr>
          <w:rFonts w:hint="eastAsia" w:ascii="仿宋" w:hAnsi="仿宋" w:eastAsia="仿宋" w:cs="仿宋"/>
          <w:color w:val="auto"/>
          <w:sz w:val="22"/>
          <w:szCs w:val="22"/>
          <w:highlight w:val="none"/>
          <w:lang w:val="zh-CN"/>
        </w:rPr>
        <w:t>.1</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rPr>
        <w:t>评标期间，评标委员会对投标文件中含义不明确、同类问题表述不一致或者有明显文字和计算错误的内容 ，有权要求投标人作出必要的澄清、说明或者补正。</w:t>
      </w:r>
    </w:p>
    <w:p w14:paraId="266118FF">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投标人的澄清、说明或者补正不得超出投标文件的范围或者改变投标文件的实质性内容。</w:t>
      </w:r>
    </w:p>
    <w:p w14:paraId="2C43DE53">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评标委员会并非对每个投标人都做澄清要求。</w:t>
      </w:r>
    </w:p>
    <w:p w14:paraId="4C331F32">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6</w:t>
      </w:r>
      <w:r>
        <w:rPr>
          <w:rFonts w:hint="eastAsia" w:ascii="仿宋" w:hAnsi="仿宋" w:eastAsia="仿宋" w:cs="仿宋"/>
          <w:color w:val="auto"/>
          <w:sz w:val="22"/>
          <w:szCs w:val="22"/>
          <w:highlight w:val="none"/>
          <w:lang w:val="zh-CN"/>
        </w:rPr>
        <w:t>.2 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2D93D7C8">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6</w:t>
      </w:r>
      <w:r>
        <w:rPr>
          <w:rFonts w:hint="eastAsia" w:ascii="仿宋" w:hAnsi="仿宋" w:eastAsia="仿宋" w:cs="仿宋"/>
          <w:color w:val="auto"/>
          <w:sz w:val="22"/>
          <w:szCs w:val="22"/>
          <w:highlight w:val="none"/>
          <w:lang w:val="zh-CN"/>
        </w:rPr>
        <w:t>.3 接到评标委员会澄清、说明和补正要求的投标人如未按规定做出澄清、说明和补正，其风险由投标人自行承担。</w:t>
      </w:r>
    </w:p>
    <w:p w14:paraId="781D6AC4">
      <w:pPr>
        <w:pStyle w:val="194"/>
        <w:spacing w:before="0" w:after="0" w:line="360" w:lineRule="exact"/>
        <w:ind w:firstLine="361"/>
        <w:rPr>
          <w:rFonts w:ascii="仿宋" w:hAnsi="仿宋" w:eastAsia="仿宋" w:cs="仿宋"/>
          <w:color w:val="auto"/>
          <w:sz w:val="24"/>
          <w:szCs w:val="24"/>
          <w:highlight w:val="none"/>
        </w:rPr>
      </w:pPr>
      <w:bookmarkStart w:id="254" w:name="_Toc513029233"/>
      <w:bookmarkStart w:id="255" w:name="_Toc20823305"/>
      <w:bookmarkStart w:id="256" w:name="_Toc16938549"/>
      <w:r>
        <w:rPr>
          <w:rFonts w:hint="eastAsia" w:ascii="仿宋" w:hAnsi="仿宋" w:eastAsia="仿宋" w:cs="仿宋"/>
          <w:color w:val="auto"/>
          <w:sz w:val="24"/>
          <w:szCs w:val="24"/>
          <w:highlight w:val="none"/>
        </w:rPr>
        <w:t>27.对投标文件的初审</w:t>
      </w:r>
      <w:bookmarkEnd w:id="254"/>
      <w:bookmarkEnd w:id="255"/>
      <w:bookmarkEnd w:id="256"/>
    </w:p>
    <w:p w14:paraId="11C5C92E">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7</w:t>
      </w:r>
      <w:r>
        <w:rPr>
          <w:rFonts w:hint="eastAsia" w:ascii="仿宋" w:hAnsi="仿宋" w:eastAsia="仿宋" w:cs="仿宋"/>
          <w:color w:val="auto"/>
          <w:sz w:val="22"/>
          <w:szCs w:val="22"/>
          <w:highlight w:val="none"/>
          <w:lang w:val="zh-CN"/>
        </w:rPr>
        <w:t>.1</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rPr>
        <w:t>投标文件初审分为资格审查和符合性审查。</w:t>
      </w:r>
    </w:p>
    <w:p w14:paraId="01BEEB58">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7</w:t>
      </w:r>
      <w:r>
        <w:rPr>
          <w:rFonts w:hint="eastAsia" w:ascii="仿宋" w:hAnsi="仿宋" w:eastAsia="仿宋" w:cs="仿宋"/>
          <w:color w:val="auto"/>
          <w:sz w:val="22"/>
          <w:szCs w:val="22"/>
          <w:highlight w:val="none"/>
          <w:lang w:val="zh-CN"/>
        </w:rPr>
        <w:t>.1.1 资格审查：依据法律法规和招标文件的规定，由采购人对投标文件中的资格证明文件进行审查。资格审查的结论，采购人以书面形式向评标委员会进行反馈。</w:t>
      </w:r>
    </w:p>
    <w:p w14:paraId="32444BB2">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采购人在进行资格性审查的同时，将在“信用中国”网站（www.creditchina.gov.cn）和“中国政府采购网"（www.ccgp.gov.cn）查询投标人的信用记录，以确定投标人是否具备投标资格，查询结果留存并归档。</w:t>
      </w:r>
    </w:p>
    <w:p w14:paraId="1F615D04">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接受联合体的项目，两个以上的自然人、法人或者其他组织组成一个联合体，以一个供应商的身份共同参加政府采购活动的，联合体成员存在不良信用记录的，视同联合体存在不良信用记录。</w:t>
      </w:r>
    </w:p>
    <w:p w14:paraId="6573521E">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7</w:t>
      </w:r>
      <w:r>
        <w:rPr>
          <w:rFonts w:hint="eastAsia" w:ascii="仿宋" w:hAnsi="仿宋" w:eastAsia="仿宋" w:cs="仿宋"/>
          <w:color w:val="auto"/>
          <w:sz w:val="22"/>
          <w:szCs w:val="22"/>
          <w:highlight w:val="none"/>
          <w:lang w:val="zh-CN"/>
        </w:rPr>
        <w:t>.1.2 符合性审查：依据招标文件的规定，由评标委员会从投标文件的有效性、完整性和对招标文件的响应程度进行审查，以确定是否对招标文件的实质性要求作出响应。</w:t>
      </w:r>
    </w:p>
    <w:p w14:paraId="601FE123">
      <w:pPr>
        <w:spacing w:line="360" w:lineRule="exact"/>
        <w:ind w:firstLine="440"/>
        <w:rPr>
          <w:rFonts w:hint="eastAsia" w:ascii="仿宋" w:hAnsi="仿宋" w:eastAsia="仿宋" w:cs="仿宋"/>
          <w:bCs w:val="0"/>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7</w:t>
      </w:r>
      <w:r>
        <w:rPr>
          <w:rFonts w:hint="eastAsia" w:ascii="仿宋" w:hAnsi="仿宋" w:eastAsia="仿宋" w:cs="仿宋"/>
          <w:color w:val="auto"/>
          <w:sz w:val="22"/>
          <w:szCs w:val="22"/>
          <w:highlight w:val="none"/>
          <w:lang w:val="zh-CN"/>
        </w:rPr>
        <w:t xml:space="preserve">.1.3 </w:t>
      </w:r>
      <w:r>
        <w:rPr>
          <w:rFonts w:hint="eastAsia" w:ascii="仿宋" w:hAnsi="仿宋" w:eastAsia="仿宋" w:cs="仿宋"/>
          <w:bCs w:val="0"/>
          <w:color w:val="auto"/>
          <w:sz w:val="22"/>
          <w:szCs w:val="22"/>
          <w:highlight w:val="none"/>
          <w:lang w:val="zh-CN"/>
        </w:rPr>
        <w:t>未通过资格审查或符合性审查的投标人，</w:t>
      </w:r>
      <w:r>
        <w:rPr>
          <w:rFonts w:hint="eastAsia" w:ascii="仿宋" w:hAnsi="仿宋" w:eastAsia="仿宋" w:cs="仿宋"/>
          <w:bCs w:val="0"/>
          <w:color w:val="auto"/>
          <w:sz w:val="22"/>
          <w:szCs w:val="22"/>
          <w:highlight w:val="none"/>
          <w:lang w:val="zh-CN" w:eastAsia="zh-CN"/>
        </w:rPr>
        <w:t>招标代理机构</w:t>
      </w:r>
      <w:r>
        <w:rPr>
          <w:rFonts w:hint="eastAsia" w:ascii="仿宋" w:hAnsi="仿宋" w:eastAsia="仿宋" w:cs="仿宋"/>
          <w:bCs w:val="0"/>
          <w:color w:val="auto"/>
          <w:sz w:val="22"/>
          <w:szCs w:val="22"/>
          <w:highlight w:val="none"/>
          <w:lang w:val="zh-CN"/>
        </w:rPr>
        <w:t>将在</w:t>
      </w:r>
      <w:r>
        <w:rPr>
          <w:rFonts w:hint="eastAsia" w:ascii="仿宋" w:hAnsi="仿宋" w:eastAsia="仿宋" w:cs="仿宋"/>
          <w:color w:val="auto"/>
          <w:sz w:val="22"/>
          <w:szCs w:val="22"/>
          <w:highlight w:val="none"/>
          <w:lang w:val="zh-CN"/>
        </w:rPr>
        <w:t>苏采云系统</w:t>
      </w:r>
      <w:r>
        <w:rPr>
          <w:rFonts w:hint="eastAsia" w:ascii="仿宋" w:hAnsi="仿宋" w:eastAsia="仿宋" w:cs="仿宋"/>
          <w:bCs w:val="0"/>
          <w:color w:val="auto"/>
          <w:sz w:val="22"/>
          <w:szCs w:val="22"/>
          <w:highlight w:val="none"/>
          <w:lang w:val="zh-CN"/>
        </w:rPr>
        <w:t>中告知未通过资格审查或符合性审查的原因，评标结束后，</w:t>
      </w:r>
      <w:r>
        <w:rPr>
          <w:rFonts w:hint="eastAsia" w:ascii="仿宋" w:hAnsi="仿宋" w:eastAsia="仿宋" w:cs="仿宋"/>
          <w:bCs w:val="0"/>
          <w:color w:val="auto"/>
          <w:sz w:val="22"/>
          <w:szCs w:val="22"/>
          <w:highlight w:val="none"/>
          <w:lang w:val="zh-CN" w:eastAsia="zh-CN"/>
        </w:rPr>
        <w:t>采购人和招标代理机构</w:t>
      </w:r>
      <w:r>
        <w:rPr>
          <w:rFonts w:hint="eastAsia" w:ascii="仿宋" w:hAnsi="仿宋" w:eastAsia="仿宋" w:cs="仿宋"/>
          <w:bCs w:val="0"/>
          <w:color w:val="auto"/>
          <w:sz w:val="22"/>
          <w:szCs w:val="22"/>
          <w:highlight w:val="none"/>
          <w:lang w:val="zh-CN"/>
        </w:rPr>
        <w:t>将不再告知未通过资格审查和符合性审查的原因。</w:t>
      </w:r>
    </w:p>
    <w:p w14:paraId="2D4E0CE7">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7</w:t>
      </w: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rPr>
        <w:t>在详细评标之前，评标委员会将首先审查每份投标文件是否实质性响应了招标文件的要求。实质性响应的投标应该是与招标文件要求的全部条款、条件和规格相符，没有重大偏离或保留的投标。</w:t>
      </w:r>
    </w:p>
    <w:p w14:paraId="4EC83B07">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所谓重大偏离或保留是指与招标文件规定的实质性要求存在负偏离，或者在实质上与招标文件不一致，而且限制了合同中买方和招标代理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p>
    <w:p w14:paraId="2955D270">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7</w:t>
      </w:r>
      <w:r>
        <w:rPr>
          <w:rFonts w:hint="eastAsia" w:ascii="仿宋" w:hAnsi="仿宋" w:eastAsia="仿宋" w:cs="仿宋"/>
          <w:color w:val="auto"/>
          <w:sz w:val="22"/>
          <w:szCs w:val="22"/>
          <w:highlight w:val="none"/>
          <w:lang w:val="zh-CN"/>
        </w:rPr>
        <w:t>.3</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rPr>
        <w:t>如果投标文件实质上没有响应招标文件的要求，评标委员会将予以拒绝，投标人不得通过修改或撤销不符合要求的偏离或保留而使其投标成为实质性响应的投标。</w:t>
      </w:r>
    </w:p>
    <w:p w14:paraId="0CCB9D0C">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7</w:t>
      </w:r>
      <w:r>
        <w:rPr>
          <w:rFonts w:hint="eastAsia" w:ascii="仿宋" w:hAnsi="仿宋" w:eastAsia="仿宋" w:cs="仿宋"/>
          <w:color w:val="auto"/>
          <w:sz w:val="22"/>
          <w:szCs w:val="22"/>
          <w:highlight w:val="none"/>
          <w:lang w:val="zh-CN"/>
        </w:rPr>
        <w:t>.4</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rPr>
        <w:t>评标委员会将对确定为实质性响应的投标进行进一步审核，确定其是否有计算上或累加上的算术错误，修正错误的原则如下：</w:t>
      </w:r>
    </w:p>
    <w:p w14:paraId="7EE4BC4A">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（1）投标文件中开标一览表内容与投标文件中相应内容不一致的，以开标一览表为准。</w:t>
      </w:r>
    </w:p>
    <w:p w14:paraId="2188C74C">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（2）大写金额和小写金额不一致的，以大写金额为准。</w:t>
      </w:r>
    </w:p>
    <w:p w14:paraId="481C3C17">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（3）单价金额小数点或者百分比有明显错位的，以开标一览表的总价为准，并修改单价。</w:t>
      </w:r>
    </w:p>
    <w:p w14:paraId="34027861">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（4）总价金额与按单价汇总金额不一致的，以单价金额计算结果为准。</w:t>
      </w:r>
    </w:p>
    <w:p w14:paraId="38F9CD25">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同时出现两种以上错误的，按照前款规定的顺序修正。</w:t>
      </w:r>
    </w:p>
    <w:p w14:paraId="4C40207C">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7</w:t>
      </w:r>
      <w:r>
        <w:rPr>
          <w:rFonts w:hint="eastAsia" w:ascii="仿宋" w:hAnsi="仿宋" w:eastAsia="仿宋" w:cs="仿宋"/>
          <w:color w:val="auto"/>
          <w:sz w:val="22"/>
          <w:szCs w:val="22"/>
          <w:highlight w:val="none"/>
          <w:lang w:val="zh-CN"/>
        </w:rPr>
        <w:t>.5 评标委员会将按上述修正错误的方法调整投标文件中的投标报价，并通过苏采云系统告知投标人，调整后的价格应对投标人具有约束力。如果投标人不接受修正后的价格，则其投标将被拒绝。</w:t>
      </w:r>
    </w:p>
    <w:p w14:paraId="29F8D11A">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7</w:t>
      </w: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6</w:t>
      </w:r>
      <w:r>
        <w:rPr>
          <w:rFonts w:hint="eastAsia" w:ascii="仿宋" w:hAnsi="仿宋" w:eastAsia="仿宋" w:cs="仿宋"/>
          <w:color w:val="auto"/>
          <w:sz w:val="22"/>
          <w:szCs w:val="22"/>
          <w:highlight w:val="none"/>
          <w:lang w:val="zh-CN"/>
        </w:rPr>
        <w:t xml:space="preserve"> 投标人在开、评标全过程中应保持通讯畅通，及时登录苏采云系统查阅、答复相关信息，并安排专人与</w:t>
      </w:r>
      <w:r>
        <w:rPr>
          <w:rFonts w:hint="eastAsia" w:ascii="仿宋" w:hAnsi="仿宋" w:eastAsia="仿宋" w:cs="仿宋"/>
          <w:color w:val="auto"/>
          <w:sz w:val="22"/>
          <w:szCs w:val="22"/>
          <w:highlight w:val="none"/>
          <w:lang w:val="en-US" w:eastAsia="zh-CN"/>
        </w:rPr>
        <w:t>招标代理机构</w:t>
      </w:r>
      <w:r>
        <w:rPr>
          <w:rFonts w:hint="eastAsia" w:ascii="仿宋" w:hAnsi="仿宋" w:eastAsia="仿宋" w:cs="仿宋"/>
          <w:color w:val="auto"/>
          <w:sz w:val="22"/>
          <w:szCs w:val="22"/>
          <w:highlight w:val="none"/>
          <w:lang w:val="zh-CN"/>
        </w:rPr>
        <w:t>及评标委员会联系。</w:t>
      </w:r>
      <w:bookmarkStart w:id="257" w:name="_Toc513029234"/>
      <w:bookmarkStart w:id="258" w:name="_Toc20823306"/>
      <w:bookmarkStart w:id="259" w:name="_Toc16938550"/>
    </w:p>
    <w:p w14:paraId="16E1A057">
      <w:pPr>
        <w:spacing w:line="400" w:lineRule="exact"/>
        <w:ind w:firstLine="420"/>
        <w:rPr>
          <w:rFonts w:hint="eastAsia" w:ascii="方正魏碑_GBK" w:hAnsi="方正魏碑_GBK" w:eastAsia="方正魏碑_GBK" w:cs="方正魏碑_GBK"/>
          <w:color w:val="auto"/>
          <w:sz w:val="24"/>
          <w:highlight w:val="none"/>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7</w:t>
      </w: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 xml:space="preserve">7 </w:t>
      </w:r>
      <w:r>
        <w:rPr>
          <w:rFonts w:hint="eastAsia" w:ascii="方正魏碑_GBK" w:hAnsi="方正魏碑_GBK" w:eastAsia="方正魏碑_GBK" w:cs="方正魏碑_GBK"/>
          <w:color w:val="auto"/>
          <w:sz w:val="24"/>
          <w:highlight w:val="none"/>
        </w:rPr>
        <w:t>异常低价投标审查</w:t>
      </w:r>
    </w:p>
    <w:p w14:paraId="5D0780C0">
      <w:pPr>
        <w:spacing w:line="360" w:lineRule="exact"/>
        <w:ind w:firstLine="440"/>
        <w:rPr>
          <w:rFonts w:hint="eastAsia" w:ascii="仿宋" w:hAnsi="仿宋" w:eastAsia="仿宋" w:cs="仿宋"/>
          <w:color w:val="auto"/>
          <w:sz w:val="22"/>
          <w:szCs w:val="22"/>
          <w:highlight w:val="none"/>
          <w:lang w:val="zh-CN"/>
        </w:rPr>
      </w:pPr>
      <w:r>
        <w:rPr>
          <w:rFonts w:hint="eastAsia" w:ascii="方正魏碑_GBK" w:hAnsi="方正魏碑_GBK" w:eastAsia="方正魏碑_GBK" w:cs="方正魏碑_GBK"/>
          <w:color w:val="auto"/>
          <w:sz w:val="24"/>
          <w:highlight w:val="none"/>
        </w:rPr>
        <w:t>2</w:t>
      </w:r>
      <w:r>
        <w:rPr>
          <w:rFonts w:hint="eastAsia" w:ascii="方正魏碑_GBK" w:hAnsi="方正魏碑_GBK" w:eastAsia="方正魏碑_GBK" w:cs="方正魏碑_GBK"/>
          <w:color w:val="auto"/>
          <w:sz w:val="24"/>
          <w:highlight w:val="none"/>
          <w:lang w:val="en-US" w:eastAsia="zh-CN"/>
        </w:rPr>
        <w:t>7</w:t>
      </w:r>
      <w:r>
        <w:rPr>
          <w:rFonts w:hint="eastAsia" w:ascii="方正魏碑_GBK" w:hAnsi="方正魏碑_GBK" w:eastAsia="方正魏碑_GBK" w:cs="方正魏碑_GBK"/>
          <w:color w:val="auto"/>
          <w:sz w:val="24"/>
          <w:highlight w:val="none"/>
        </w:rPr>
        <w:t xml:space="preserve">.7.1 </w:t>
      </w:r>
      <w:r>
        <w:rPr>
          <w:rFonts w:hint="eastAsia" w:ascii="仿宋" w:hAnsi="仿宋" w:eastAsia="仿宋" w:cs="仿宋"/>
          <w:color w:val="auto"/>
          <w:sz w:val="22"/>
          <w:szCs w:val="22"/>
          <w:highlight w:val="none"/>
          <w:lang w:val="zh-CN"/>
        </w:rPr>
        <w:t>评标过程中出现下列情形之一的，评标委员会应当启动异常低价投标审查程序：</w:t>
      </w:r>
    </w:p>
    <w:p w14:paraId="60A3925A">
      <w:pPr>
        <w:spacing w:line="360" w:lineRule="exact"/>
        <w:ind w:firstLine="440"/>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（1）投标报价低于全部通过符合性审查供应商投标报价平均值</w:t>
      </w:r>
      <w:r>
        <w:rPr>
          <w:rFonts w:hint="eastAsia" w:ascii="仿宋" w:hAnsi="仿宋" w:eastAsia="仿宋" w:cs="仿宋"/>
          <w:color w:val="auto"/>
          <w:sz w:val="22"/>
          <w:szCs w:val="22"/>
          <w:highlight w:val="none"/>
          <w:u w:val="none"/>
          <w:lang w:val="zh-CN"/>
        </w:rPr>
        <w:t>50%</w:t>
      </w:r>
      <w:r>
        <w:rPr>
          <w:rFonts w:hint="eastAsia" w:ascii="仿宋" w:hAnsi="仿宋" w:eastAsia="仿宋" w:cs="仿宋"/>
          <w:color w:val="auto"/>
          <w:sz w:val="22"/>
          <w:szCs w:val="22"/>
          <w:highlight w:val="none"/>
          <w:lang w:val="zh-CN"/>
        </w:rPr>
        <w:t>的，即投标报价&lt;全部通过符合性审查供应商投标报价平均值×</w:t>
      </w:r>
      <w:r>
        <w:rPr>
          <w:rFonts w:hint="eastAsia" w:ascii="仿宋" w:hAnsi="仿宋" w:eastAsia="仿宋" w:cs="仿宋"/>
          <w:color w:val="auto"/>
          <w:sz w:val="22"/>
          <w:szCs w:val="22"/>
          <w:highlight w:val="none"/>
          <w:u w:val="none"/>
          <w:lang w:val="zh-CN"/>
        </w:rPr>
        <w:t>50%</w:t>
      </w:r>
      <w:r>
        <w:rPr>
          <w:rFonts w:hint="eastAsia" w:ascii="仿宋" w:hAnsi="仿宋" w:eastAsia="仿宋" w:cs="仿宋"/>
          <w:color w:val="auto"/>
          <w:sz w:val="22"/>
          <w:szCs w:val="22"/>
          <w:highlight w:val="none"/>
          <w:lang w:val="zh-CN"/>
        </w:rPr>
        <w:t>；</w:t>
      </w:r>
    </w:p>
    <w:p w14:paraId="622AC5C6">
      <w:pPr>
        <w:spacing w:line="360" w:lineRule="exact"/>
        <w:ind w:firstLine="440"/>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（2）投标报价低于通过符合性审查的次低报价供应商投标报价</w:t>
      </w:r>
      <w:r>
        <w:rPr>
          <w:rFonts w:hint="eastAsia" w:ascii="仿宋" w:hAnsi="仿宋" w:eastAsia="仿宋" w:cs="仿宋"/>
          <w:color w:val="auto"/>
          <w:sz w:val="22"/>
          <w:szCs w:val="22"/>
          <w:highlight w:val="none"/>
          <w:u w:val="none"/>
          <w:lang w:val="zh-CN"/>
        </w:rPr>
        <w:t>50%</w:t>
      </w:r>
      <w:r>
        <w:rPr>
          <w:rFonts w:hint="eastAsia" w:ascii="仿宋" w:hAnsi="仿宋" w:eastAsia="仿宋" w:cs="仿宋"/>
          <w:color w:val="auto"/>
          <w:sz w:val="22"/>
          <w:szCs w:val="22"/>
          <w:highlight w:val="none"/>
          <w:lang w:val="zh-CN"/>
        </w:rPr>
        <w:t>的，即投标报价&lt;通过符合性审查的次低报价供应商投标报价×</w:t>
      </w:r>
      <w:r>
        <w:rPr>
          <w:rFonts w:hint="eastAsia" w:ascii="仿宋" w:hAnsi="仿宋" w:eastAsia="仿宋" w:cs="仿宋"/>
          <w:color w:val="auto"/>
          <w:sz w:val="22"/>
          <w:szCs w:val="22"/>
          <w:highlight w:val="none"/>
          <w:u w:val="none"/>
          <w:lang w:val="zh-CN"/>
        </w:rPr>
        <w:t>50%</w:t>
      </w:r>
      <w:r>
        <w:rPr>
          <w:rFonts w:hint="eastAsia" w:ascii="仿宋" w:hAnsi="仿宋" w:eastAsia="仿宋" w:cs="仿宋"/>
          <w:color w:val="auto"/>
          <w:sz w:val="22"/>
          <w:szCs w:val="22"/>
          <w:highlight w:val="none"/>
          <w:lang w:val="zh-CN"/>
        </w:rPr>
        <w:t>；</w:t>
      </w:r>
    </w:p>
    <w:p w14:paraId="2C328BF4">
      <w:pPr>
        <w:spacing w:line="360" w:lineRule="exact"/>
        <w:ind w:firstLine="440"/>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（3）投标报价低于采购项目最高限价</w:t>
      </w:r>
      <w:r>
        <w:rPr>
          <w:rFonts w:hint="eastAsia" w:ascii="仿宋" w:hAnsi="仿宋" w:eastAsia="仿宋" w:cs="仿宋"/>
          <w:color w:val="auto"/>
          <w:sz w:val="22"/>
          <w:szCs w:val="22"/>
          <w:highlight w:val="none"/>
          <w:lang w:val="zh-CN" w:eastAsia="zh-CN"/>
        </w:rPr>
        <w:t>45</w:t>
      </w:r>
      <w:r>
        <w:rPr>
          <w:rFonts w:hint="eastAsia" w:ascii="仿宋" w:hAnsi="仿宋" w:eastAsia="仿宋" w:cs="仿宋"/>
          <w:color w:val="auto"/>
          <w:sz w:val="22"/>
          <w:szCs w:val="22"/>
          <w:highlight w:val="none"/>
          <w:lang w:val="zh-CN"/>
        </w:rPr>
        <w:t>%的，即投标报价&lt;采购项目最高限价×</w:t>
      </w:r>
      <w:r>
        <w:rPr>
          <w:rFonts w:hint="eastAsia" w:ascii="仿宋" w:hAnsi="仿宋" w:eastAsia="仿宋" w:cs="仿宋"/>
          <w:color w:val="auto"/>
          <w:sz w:val="22"/>
          <w:szCs w:val="22"/>
          <w:highlight w:val="none"/>
          <w:lang w:val="zh-CN" w:eastAsia="zh-CN"/>
        </w:rPr>
        <w:t>45</w:t>
      </w:r>
      <w:r>
        <w:rPr>
          <w:rFonts w:hint="eastAsia" w:ascii="仿宋" w:hAnsi="仿宋" w:eastAsia="仿宋" w:cs="仿宋"/>
          <w:color w:val="auto"/>
          <w:sz w:val="22"/>
          <w:szCs w:val="22"/>
          <w:highlight w:val="none"/>
          <w:lang w:val="zh-CN"/>
        </w:rPr>
        <w:t>%；</w:t>
      </w:r>
    </w:p>
    <w:p w14:paraId="17857C1B">
      <w:pPr>
        <w:spacing w:line="360" w:lineRule="exact"/>
        <w:ind w:firstLine="440"/>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（4）评标委员会基于专业判断，认为供应商报价过低，有可能影响产品质量或者不能诚信履约的其他情形。</w:t>
      </w:r>
    </w:p>
    <w:p w14:paraId="4CE98C4A">
      <w:pPr>
        <w:spacing w:line="360" w:lineRule="exact"/>
        <w:ind w:firstLine="440"/>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lang w:val="zh-CN" w:eastAsia="zh-CN"/>
        </w:rPr>
        <w:t>7</w:t>
      </w:r>
      <w:r>
        <w:rPr>
          <w:rFonts w:hint="eastAsia" w:ascii="仿宋" w:hAnsi="仿宋" w:eastAsia="仿宋" w:cs="仿宋"/>
          <w:color w:val="auto"/>
          <w:sz w:val="22"/>
          <w:szCs w:val="22"/>
          <w:highlight w:val="none"/>
          <w:lang w:val="zh-CN"/>
        </w:rPr>
        <w:t>.7.2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w:t>
      </w:r>
      <w:r>
        <w:rPr>
          <w:rFonts w:hint="eastAsia" w:ascii="仿宋" w:hAnsi="仿宋" w:eastAsia="仿宋" w:cs="仿宋"/>
          <w:b/>
          <w:bCs/>
          <w:i/>
          <w:iCs/>
          <w:color w:val="auto"/>
          <w:sz w:val="22"/>
          <w:szCs w:val="22"/>
          <w:highlight w:val="none"/>
          <w:u w:val="single"/>
          <w:lang w:val="zh-CN"/>
        </w:rPr>
        <w:t>其中</w:t>
      </w:r>
      <w:r>
        <w:rPr>
          <w:rFonts w:hint="eastAsia" w:ascii="仿宋" w:hAnsi="仿宋" w:eastAsia="仿宋" w:cs="仿宋"/>
          <w:b/>
          <w:bCs/>
          <w:i/>
          <w:iCs/>
          <w:color w:val="auto"/>
          <w:sz w:val="22"/>
          <w:szCs w:val="22"/>
          <w:highlight w:val="none"/>
          <w:u w:val="single"/>
          <w:lang w:val="zh-CN" w:eastAsia="zh-CN"/>
        </w:rPr>
        <w:t>投标报价低于采购项目最高限价（预算）45%的，投标人应在投标文件中提供合理性相关书面说明及必要的证明材料</w:t>
      </w:r>
      <w:r>
        <w:rPr>
          <w:rFonts w:hint="eastAsia" w:ascii="仿宋" w:hAnsi="仿宋" w:eastAsia="仿宋" w:cs="仿宋"/>
          <w:b/>
          <w:bCs/>
          <w:i/>
          <w:iCs/>
          <w:color w:val="auto"/>
          <w:sz w:val="22"/>
          <w:szCs w:val="22"/>
          <w:highlight w:val="none"/>
          <w:u w:val="single"/>
          <w:lang w:val="zh-CN"/>
        </w:rPr>
        <w:t>。</w:t>
      </w:r>
    </w:p>
    <w:p w14:paraId="2333355C">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bookmarkEnd w:id="257"/>
      <w:bookmarkEnd w:id="258"/>
      <w:bookmarkEnd w:id="259"/>
    </w:p>
    <w:p w14:paraId="4C314810">
      <w:pPr>
        <w:pStyle w:val="194"/>
        <w:spacing w:before="0" w:after="0" w:line="360" w:lineRule="exact"/>
        <w:ind w:firstLine="361"/>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28.无效投标条款和废标条款</w:t>
      </w:r>
    </w:p>
    <w:p w14:paraId="39A9690C">
      <w:pPr>
        <w:spacing w:line="360" w:lineRule="exact"/>
        <w:ind w:firstLine="440"/>
        <w:rPr>
          <w:rFonts w:ascii="仿宋" w:hAnsi="仿宋" w:eastAsia="仿宋" w:cs="仿宋"/>
          <w:color w:val="auto"/>
          <w:sz w:val="22"/>
          <w:szCs w:val="22"/>
          <w:highlight w:val="none"/>
          <w:lang w:val="zh-CN"/>
        </w:rPr>
      </w:pPr>
      <w:bookmarkStart w:id="260" w:name="_Toc16938551"/>
      <w:bookmarkStart w:id="261" w:name="_Toc513029235"/>
      <w:bookmarkStart w:id="262" w:name="_Toc20823307"/>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8</w:t>
      </w:r>
      <w:r>
        <w:rPr>
          <w:rFonts w:hint="eastAsia" w:ascii="仿宋" w:hAnsi="仿宋" w:eastAsia="仿宋" w:cs="仿宋"/>
          <w:color w:val="auto"/>
          <w:sz w:val="22"/>
          <w:szCs w:val="22"/>
          <w:highlight w:val="none"/>
          <w:lang w:val="zh-CN"/>
        </w:rPr>
        <w:t>.1</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rPr>
        <w:t>无效投标条款</w:t>
      </w:r>
    </w:p>
    <w:p w14:paraId="2541F54E">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val="zh-CN"/>
        </w:rPr>
        <w:t>）投标人在苏采云系统规定的时间内未成功解密电子投标文件的。</w:t>
      </w:r>
    </w:p>
    <w:p w14:paraId="0591D09E">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val="zh-CN"/>
        </w:rPr>
        <w:t>投标人未按照招标文件要求上传电子投标文件的。</w:t>
      </w:r>
    </w:p>
    <w:p w14:paraId="4600109B">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3</w:t>
      </w:r>
      <w:r>
        <w:rPr>
          <w:rFonts w:hint="eastAsia" w:ascii="仿宋" w:hAnsi="仿宋" w:eastAsia="仿宋" w:cs="仿宋"/>
          <w:color w:val="auto"/>
          <w:sz w:val="22"/>
          <w:szCs w:val="22"/>
          <w:highlight w:val="none"/>
          <w:lang w:val="zh-CN"/>
        </w:rPr>
        <w:t>）投标人同一采购包提交两个（含两个）以上不同的投标报价的。</w:t>
      </w:r>
    </w:p>
    <w:p w14:paraId="02A78065">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4</w:t>
      </w:r>
      <w:r>
        <w:rPr>
          <w:rFonts w:hint="eastAsia" w:ascii="仿宋" w:hAnsi="仿宋" w:eastAsia="仿宋" w:cs="仿宋"/>
          <w:color w:val="auto"/>
          <w:sz w:val="22"/>
          <w:szCs w:val="22"/>
          <w:highlight w:val="none"/>
          <w:lang w:val="zh-CN"/>
        </w:rPr>
        <w:t>）投标人不具备招标文件中规定资格要求的。</w:t>
      </w:r>
    </w:p>
    <w:p w14:paraId="4CF8EF3D">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5</w:t>
      </w:r>
      <w:r>
        <w:rPr>
          <w:rFonts w:hint="eastAsia" w:ascii="仿宋" w:hAnsi="仿宋" w:eastAsia="仿宋" w:cs="仿宋"/>
          <w:color w:val="auto"/>
          <w:sz w:val="22"/>
          <w:szCs w:val="22"/>
          <w:highlight w:val="none"/>
          <w:lang w:val="zh-CN"/>
        </w:rPr>
        <w:t>）投标人的报价超过了采购预算或最高限价的。</w:t>
      </w:r>
    </w:p>
    <w:p w14:paraId="7F55DBF7">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6</w:t>
      </w:r>
      <w:r>
        <w:rPr>
          <w:rFonts w:hint="eastAsia" w:ascii="仿宋" w:hAnsi="仿宋" w:eastAsia="仿宋" w:cs="仿宋"/>
          <w:color w:val="auto"/>
          <w:sz w:val="22"/>
          <w:szCs w:val="22"/>
          <w:highlight w:val="none"/>
          <w:lang w:val="zh-CN"/>
        </w:rPr>
        <w:t>）未通过符合性审查的。</w:t>
      </w:r>
    </w:p>
    <w:p w14:paraId="179FE705">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7</w:t>
      </w:r>
      <w:r>
        <w:rPr>
          <w:rFonts w:hint="eastAsia" w:ascii="仿宋" w:hAnsi="仿宋" w:eastAsia="仿宋" w:cs="仿宋"/>
          <w:color w:val="auto"/>
          <w:sz w:val="22"/>
          <w:szCs w:val="22"/>
          <w:highlight w:val="none"/>
          <w:lang w:val="zh-CN"/>
        </w:rPr>
        <w:t>）不符合招标文件中规定的其他实质性要求的。</w:t>
      </w:r>
    </w:p>
    <w:p w14:paraId="4B1AC5BD">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8</w:t>
      </w:r>
      <w:r>
        <w:rPr>
          <w:rFonts w:hint="eastAsia" w:ascii="仿宋" w:hAnsi="仿宋" w:eastAsia="仿宋" w:cs="仿宋"/>
          <w:color w:val="auto"/>
          <w:sz w:val="22"/>
          <w:szCs w:val="22"/>
          <w:highlight w:val="none"/>
          <w:lang w:val="zh-CN"/>
        </w:rPr>
        <w:t>）投标人被 “信用中国”网站（www.creditchina.gov.cn）列入失信被执行人或重大税收违法失信主体名单或政府采购严重失信行为记录名单。或查询“信用中国”网站后发现投标人存在其他不符合《中华人民共和国政府采购法》第二十二条规定条件的信用记录。</w:t>
      </w:r>
    </w:p>
    <w:p w14:paraId="5AFD9342">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9</w:t>
      </w:r>
      <w:r>
        <w:rPr>
          <w:rFonts w:hint="eastAsia" w:ascii="仿宋" w:hAnsi="仿宋" w:eastAsia="仿宋" w:cs="仿宋"/>
          <w:color w:val="auto"/>
          <w:sz w:val="22"/>
          <w:szCs w:val="22"/>
          <w:highlight w:val="none"/>
          <w:lang w:val="zh-CN"/>
        </w:rPr>
        <w:t>）投标文件含有采购人不能接受的附加条件的。</w:t>
      </w:r>
    </w:p>
    <w:p w14:paraId="23566B92">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10</w:t>
      </w:r>
      <w:r>
        <w:rPr>
          <w:rFonts w:hint="eastAsia" w:ascii="仿宋" w:hAnsi="仿宋" w:eastAsia="仿宋" w:cs="仿宋"/>
          <w:color w:val="auto"/>
          <w:sz w:val="22"/>
          <w:szCs w:val="22"/>
          <w:highlight w:val="none"/>
          <w:lang w:val="zh-CN"/>
        </w:rPr>
        <w:t>）评标委员会按照本招标文件规定对投标人进行异常低价投标审查后，认为投标人不能证明其报价合理性的。</w:t>
      </w:r>
    </w:p>
    <w:p w14:paraId="0DDA2374">
      <w:pPr>
        <w:spacing w:line="360" w:lineRule="exact"/>
        <w:ind w:firstLine="440"/>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11</w:t>
      </w:r>
      <w:r>
        <w:rPr>
          <w:rFonts w:hint="eastAsia" w:ascii="仿宋" w:hAnsi="仿宋" w:eastAsia="仿宋" w:cs="仿宋"/>
          <w:color w:val="auto"/>
          <w:sz w:val="22"/>
          <w:szCs w:val="22"/>
          <w:highlight w:val="none"/>
          <w:lang w:val="zh-CN"/>
        </w:rPr>
        <w:t>）投标文件未按照招标文件要求加盖CA电子公章的。</w:t>
      </w:r>
    </w:p>
    <w:p w14:paraId="68193880">
      <w:pPr>
        <w:spacing w:line="360" w:lineRule="exact"/>
        <w:ind w:firstLine="440"/>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lang w:val="en-US" w:eastAsia="zh-CN"/>
        </w:rPr>
        <w:t>12）</w:t>
      </w:r>
      <w:r>
        <w:rPr>
          <w:rFonts w:hint="eastAsia" w:ascii="仿宋" w:hAnsi="仿宋" w:eastAsia="仿宋" w:cs="仿宋"/>
          <w:color w:val="auto"/>
          <w:sz w:val="22"/>
          <w:szCs w:val="22"/>
          <w:highlight w:val="none"/>
        </w:rPr>
        <w:t>投标人所提供的服务不符合招标文件中所列国家强制性标准的。</w:t>
      </w:r>
    </w:p>
    <w:p w14:paraId="6EFD9C32">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en-US" w:eastAsia="zh-CN"/>
        </w:rPr>
        <w:t>（13）</w:t>
      </w:r>
      <w:r>
        <w:rPr>
          <w:rFonts w:hint="eastAsia" w:ascii="仿宋" w:hAnsi="仿宋" w:eastAsia="仿宋" w:cs="仿宋"/>
          <w:color w:val="auto"/>
          <w:sz w:val="22"/>
          <w:szCs w:val="22"/>
          <w:highlight w:val="none"/>
          <w:lang w:val="zh-CN"/>
        </w:rPr>
        <w:t>其他法律法规及本招标文件规定的属于无效投标的情形。</w:t>
      </w:r>
    </w:p>
    <w:p w14:paraId="31A1B52C">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8</w:t>
      </w:r>
      <w:r>
        <w:rPr>
          <w:rFonts w:hint="eastAsia" w:ascii="仿宋" w:hAnsi="仿宋" w:eastAsia="仿宋" w:cs="仿宋"/>
          <w:color w:val="auto"/>
          <w:sz w:val="22"/>
          <w:szCs w:val="22"/>
          <w:highlight w:val="none"/>
          <w:lang w:val="zh-CN"/>
        </w:rPr>
        <w:t>.2废标条款</w:t>
      </w:r>
    </w:p>
    <w:p w14:paraId="05277D34">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val="zh-CN"/>
        </w:rPr>
        <w:t>）符合资格条件的供应商或者对招标文件作实质响应的供应商不足三家的。</w:t>
      </w:r>
    </w:p>
    <w:p w14:paraId="5B9E657A">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val="zh-CN"/>
        </w:rPr>
        <w:t>）出现影响采购公正的违法、违规行为的。</w:t>
      </w:r>
    </w:p>
    <w:p w14:paraId="4255CCF9">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3</w:t>
      </w:r>
      <w:r>
        <w:rPr>
          <w:rFonts w:hint="eastAsia" w:ascii="仿宋" w:hAnsi="仿宋" w:eastAsia="仿宋" w:cs="仿宋"/>
          <w:color w:val="auto"/>
          <w:sz w:val="22"/>
          <w:szCs w:val="22"/>
          <w:highlight w:val="none"/>
          <w:lang w:val="zh-CN"/>
        </w:rPr>
        <w:t>）因重大变故，采购任务取消的。</w:t>
      </w:r>
    </w:p>
    <w:p w14:paraId="45FF426D">
      <w:pPr>
        <w:spacing w:line="360" w:lineRule="exact"/>
        <w:ind w:firstLine="440"/>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4</w:t>
      </w:r>
      <w:r>
        <w:rPr>
          <w:rFonts w:hint="eastAsia" w:ascii="仿宋" w:hAnsi="仿宋" w:eastAsia="仿宋" w:cs="仿宋"/>
          <w:color w:val="auto"/>
          <w:sz w:val="22"/>
          <w:szCs w:val="22"/>
          <w:highlight w:val="none"/>
          <w:lang w:val="zh-CN"/>
        </w:rPr>
        <w:t>）评标委员会认定招标文件存在歧义、重大缺陷导致评审工作无法进行的。</w:t>
      </w:r>
    </w:p>
    <w:p w14:paraId="72266E97">
      <w:pPr>
        <w:spacing w:line="360" w:lineRule="exact"/>
        <w:ind w:firstLine="440"/>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lang w:val="en-US" w:eastAsia="zh-CN"/>
        </w:rPr>
        <w:t>5）因苏采云系统故障原因造成开标不成功的。</w:t>
      </w:r>
    </w:p>
    <w:p w14:paraId="0612635D">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8</w:t>
      </w:r>
      <w:r>
        <w:rPr>
          <w:rFonts w:hint="eastAsia" w:ascii="仿宋" w:hAnsi="仿宋" w:eastAsia="仿宋" w:cs="仿宋"/>
          <w:color w:val="auto"/>
          <w:sz w:val="22"/>
          <w:szCs w:val="22"/>
          <w:highlight w:val="none"/>
          <w:lang w:val="zh-CN"/>
        </w:rPr>
        <w:t>.3 投标截止时间结束后参加投标的供应商不足三家的处理：如出现投标截止时间结束后参加投标的供应商或者在评标期间对招标文件做出实质响应的供应商不足三家情况，按政府采购相关规定执行。</w:t>
      </w:r>
    </w:p>
    <w:p w14:paraId="1D5972BA">
      <w:pPr>
        <w:pStyle w:val="192"/>
        <w:spacing w:before="0" w:after="0" w:line="360" w:lineRule="exact"/>
        <w:ind w:firstLine="498"/>
        <w:rPr>
          <w:rFonts w:ascii="仿宋" w:hAnsi="仿宋" w:eastAsia="仿宋" w:cs="仿宋"/>
          <w:color w:val="auto"/>
          <w:highlight w:val="none"/>
        </w:rPr>
      </w:pPr>
      <w:bookmarkStart w:id="263" w:name="_Toc30637"/>
      <w:bookmarkStart w:id="264" w:name="_Toc30059"/>
      <w:bookmarkStart w:id="265" w:name="_Toc27185"/>
      <w:bookmarkStart w:id="266" w:name="_Toc120614219"/>
      <w:r>
        <w:rPr>
          <w:rFonts w:hint="eastAsia" w:ascii="仿宋" w:hAnsi="仿宋" w:eastAsia="仿宋" w:cs="仿宋"/>
          <w:color w:val="auto"/>
          <w:highlight w:val="none"/>
        </w:rPr>
        <w:t>六、</w:t>
      </w:r>
      <w:bookmarkEnd w:id="260"/>
      <w:bookmarkEnd w:id="261"/>
      <w:bookmarkEnd w:id="262"/>
      <w:r>
        <w:rPr>
          <w:rFonts w:hint="eastAsia" w:ascii="仿宋" w:hAnsi="仿宋" w:eastAsia="仿宋" w:cs="仿宋"/>
          <w:color w:val="auto"/>
          <w:highlight w:val="none"/>
        </w:rPr>
        <w:t>定标</w:t>
      </w:r>
      <w:bookmarkEnd w:id="263"/>
      <w:bookmarkEnd w:id="264"/>
      <w:bookmarkEnd w:id="265"/>
      <w:bookmarkEnd w:id="266"/>
    </w:p>
    <w:p w14:paraId="368F2FB7">
      <w:pPr>
        <w:pStyle w:val="194"/>
        <w:spacing w:before="0" w:after="0" w:line="360" w:lineRule="exact"/>
        <w:ind w:firstLine="361"/>
        <w:rPr>
          <w:rFonts w:ascii="仿宋" w:hAnsi="仿宋" w:eastAsia="仿宋" w:cs="仿宋"/>
          <w:color w:val="auto"/>
          <w:sz w:val="24"/>
          <w:szCs w:val="24"/>
          <w:highlight w:val="none"/>
        </w:rPr>
      </w:pPr>
      <w:bookmarkStart w:id="267" w:name="_Toc513029238"/>
      <w:bookmarkStart w:id="268" w:name="_Toc20823310"/>
      <w:bookmarkStart w:id="269" w:name="_Toc16938554"/>
      <w:r>
        <w:rPr>
          <w:rFonts w:hint="eastAsia" w:ascii="仿宋" w:hAnsi="仿宋" w:eastAsia="仿宋" w:cs="仿宋"/>
          <w:color w:val="auto"/>
          <w:sz w:val="24"/>
          <w:szCs w:val="24"/>
          <w:highlight w:val="none"/>
        </w:rPr>
        <w:t>2</w:t>
      </w:r>
      <w:bookmarkEnd w:id="267"/>
      <w:r>
        <w:rPr>
          <w:rFonts w:hint="eastAsia" w:ascii="仿宋" w:hAnsi="仿宋" w:eastAsia="仿宋" w:cs="仿宋"/>
          <w:color w:val="auto"/>
          <w:sz w:val="24"/>
          <w:szCs w:val="24"/>
          <w:highlight w:val="none"/>
        </w:rPr>
        <w:t>9.确定</w:t>
      </w:r>
      <w:bookmarkEnd w:id="268"/>
      <w:bookmarkEnd w:id="269"/>
      <w:r>
        <w:rPr>
          <w:rFonts w:hint="eastAsia" w:ascii="仿宋" w:hAnsi="仿宋" w:eastAsia="仿宋" w:cs="仿宋"/>
          <w:color w:val="auto"/>
          <w:sz w:val="24"/>
          <w:szCs w:val="24"/>
          <w:highlight w:val="none"/>
        </w:rPr>
        <w:t>中标单位</w:t>
      </w:r>
    </w:p>
    <w:p w14:paraId="7E5F2A94">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9</w:t>
      </w:r>
      <w:r>
        <w:rPr>
          <w:rFonts w:hint="eastAsia" w:ascii="仿宋" w:hAnsi="仿宋" w:eastAsia="仿宋" w:cs="仿宋"/>
          <w:color w:val="auto"/>
          <w:sz w:val="22"/>
          <w:szCs w:val="22"/>
          <w:highlight w:val="none"/>
          <w:lang w:val="zh-CN"/>
        </w:rPr>
        <w:t>.1</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rPr>
        <w:t xml:space="preserve">中标候选人的选取原则和数量见招标文件第五章规定。 </w:t>
      </w:r>
    </w:p>
    <w:p w14:paraId="3AE7C663">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9</w:t>
      </w:r>
      <w:r>
        <w:rPr>
          <w:rFonts w:hint="eastAsia" w:ascii="仿宋" w:hAnsi="仿宋" w:eastAsia="仿宋" w:cs="仿宋"/>
          <w:color w:val="auto"/>
          <w:sz w:val="22"/>
          <w:szCs w:val="22"/>
          <w:highlight w:val="none"/>
          <w:lang w:val="zh-CN"/>
        </w:rPr>
        <w:t>.2 采购人应根据评标委员会推荐的中标候选人确定中标人。</w:t>
      </w:r>
    </w:p>
    <w:p w14:paraId="3CF5390F">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9</w:t>
      </w:r>
      <w:r>
        <w:rPr>
          <w:rFonts w:hint="eastAsia" w:ascii="仿宋" w:hAnsi="仿宋" w:eastAsia="仿宋" w:cs="仿宋"/>
          <w:color w:val="auto"/>
          <w:sz w:val="22"/>
          <w:szCs w:val="22"/>
          <w:highlight w:val="none"/>
          <w:lang w:val="zh-CN"/>
        </w:rPr>
        <w:t>.3 招标代理将在“江苏政府采购网‘苏采云’系统”发布中标公告，公告期限为1个工作日。</w:t>
      </w:r>
    </w:p>
    <w:p w14:paraId="6940C403">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9</w:t>
      </w:r>
      <w:r>
        <w:rPr>
          <w:rFonts w:hint="eastAsia" w:ascii="仿宋" w:hAnsi="仿宋" w:eastAsia="仿宋" w:cs="仿宋"/>
          <w:color w:val="auto"/>
          <w:sz w:val="22"/>
          <w:szCs w:val="22"/>
          <w:highlight w:val="none"/>
          <w:lang w:val="zh-CN"/>
        </w:rPr>
        <w:t>.4  若有充分证据证明，中标人出现下列情况之一的，一经查实，将被取消中标资格：</w:t>
      </w:r>
    </w:p>
    <w:p w14:paraId="4792D057">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val="zh-CN"/>
        </w:rPr>
        <w:t>）提供虚假材料谋取中标的。</w:t>
      </w:r>
    </w:p>
    <w:p w14:paraId="114C208C">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val="zh-CN"/>
        </w:rPr>
        <w:t>）向采购人、招标代理行贿或者提供其他不正当利益的。</w:t>
      </w:r>
    </w:p>
    <w:p w14:paraId="5D9C652D">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3</w:t>
      </w:r>
      <w:r>
        <w:rPr>
          <w:rFonts w:hint="eastAsia" w:ascii="仿宋" w:hAnsi="仿宋" w:eastAsia="仿宋" w:cs="仿宋"/>
          <w:color w:val="auto"/>
          <w:sz w:val="22"/>
          <w:szCs w:val="22"/>
          <w:highlight w:val="none"/>
          <w:lang w:val="zh-CN"/>
        </w:rPr>
        <w:t>）属于本文件规定的无效条件，但在评标过程中又未被评标委员会发现的。</w:t>
      </w:r>
    </w:p>
    <w:p w14:paraId="7575B34F">
      <w:pPr>
        <w:spacing w:line="360" w:lineRule="exact"/>
        <w:ind w:firstLine="440"/>
        <w:rPr>
          <w:rFonts w:ascii="仿宋" w:hAnsi="仿宋" w:eastAsia="仿宋" w:cs="仿宋"/>
          <w:color w:val="auto"/>
          <w:sz w:val="24"/>
          <w:szCs w:val="24"/>
          <w:highlight w:val="none"/>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4</w:t>
      </w:r>
      <w:r>
        <w:rPr>
          <w:rFonts w:hint="eastAsia" w:ascii="仿宋" w:hAnsi="仿宋" w:eastAsia="仿宋" w:cs="仿宋"/>
          <w:color w:val="auto"/>
          <w:sz w:val="22"/>
          <w:szCs w:val="22"/>
          <w:highlight w:val="none"/>
          <w:lang w:val="zh-CN"/>
        </w:rPr>
        <w:t>）与采购人或者其他供应商恶意串通的。</w:t>
      </w:r>
    </w:p>
    <w:p w14:paraId="3EAB6C80">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5</w:t>
      </w:r>
      <w:r>
        <w:rPr>
          <w:rFonts w:hint="eastAsia" w:ascii="仿宋" w:hAnsi="仿宋" w:eastAsia="仿宋" w:cs="仿宋"/>
          <w:color w:val="auto"/>
          <w:sz w:val="22"/>
          <w:szCs w:val="22"/>
          <w:highlight w:val="none"/>
          <w:lang w:val="zh-CN"/>
        </w:rPr>
        <w:t>）采取不正当手段诋毁、排挤其他供应商的。</w:t>
      </w:r>
    </w:p>
    <w:p w14:paraId="5E38AF7C">
      <w:pPr>
        <w:spacing w:line="360" w:lineRule="exact"/>
        <w:ind w:firstLine="440"/>
        <w:rPr>
          <w:rFonts w:ascii="仿宋" w:hAnsi="仿宋" w:eastAsia="仿宋" w:cs="仿宋"/>
          <w:color w:val="auto"/>
          <w:sz w:val="22"/>
          <w:szCs w:val="22"/>
          <w:highlight w:val="none"/>
          <w:lang w:val="zh-CN"/>
        </w:rPr>
      </w:pPr>
      <w:bookmarkStart w:id="270" w:name="_Toc200451960"/>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9</w:t>
      </w:r>
      <w:r>
        <w:rPr>
          <w:rFonts w:hint="eastAsia" w:ascii="仿宋" w:hAnsi="仿宋" w:eastAsia="仿宋" w:cs="仿宋"/>
          <w:color w:val="auto"/>
          <w:sz w:val="22"/>
          <w:szCs w:val="22"/>
          <w:highlight w:val="none"/>
          <w:lang w:val="zh-CN"/>
        </w:rPr>
        <w:t>.5 有下列情形之一的，视为投标人串通投标，投标无效：</w:t>
      </w:r>
    </w:p>
    <w:p w14:paraId="088A188E">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val="zh-CN"/>
        </w:rPr>
        <w:t>）不同投标人的投标文件由同一单位或者个人编制。</w:t>
      </w:r>
    </w:p>
    <w:p w14:paraId="7290112A">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val="zh-CN"/>
        </w:rPr>
        <w:t>）不同投标人委托同一单位或者个人办理投标事宜。</w:t>
      </w:r>
    </w:p>
    <w:p w14:paraId="54D73080">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3</w:t>
      </w:r>
      <w:r>
        <w:rPr>
          <w:rFonts w:hint="eastAsia" w:ascii="仿宋" w:hAnsi="仿宋" w:eastAsia="仿宋" w:cs="仿宋"/>
          <w:color w:val="auto"/>
          <w:sz w:val="22"/>
          <w:szCs w:val="22"/>
          <w:highlight w:val="none"/>
          <w:lang w:val="zh-CN"/>
        </w:rPr>
        <w:t>）不同投标人的投标文件载明的项目管理成员或者联系人员为同一人。</w:t>
      </w:r>
    </w:p>
    <w:p w14:paraId="2D134FBE">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4</w:t>
      </w:r>
      <w:r>
        <w:rPr>
          <w:rFonts w:hint="eastAsia" w:ascii="仿宋" w:hAnsi="仿宋" w:eastAsia="仿宋" w:cs="仿宋"/>
          <w:color w:val="auto"/>
          <w:sz w:val="22"/>
          <w:szCs w:val="22"/>
          <w:highlight w:val="none"/>
          <w:lang w:val="zh-CN"/>
        </w:rPr>
        <w:t>）不同投标人的投标文件异常一致或者投标报价呈规律性差异。</w:t>
      </w:r>
    </w:p>
    <w:p w14:paraId="042AC585">
      <w:pPr>
        <w:pStyle w:val="194"/>
        <w:spacing w:before="0" w:after="0" w:line="360" w:lineRule="exact"/>
        <w:ind w:firstLine="361"/>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30.质疑处理</w:t>
      </w:r>
      <w:bookmarkEnd w:id="270"/>
    </w:p>
    <w:p w14:paraId="0D985AB7">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30</w:t>
      </w:r>
      <w:r>
        <w:rPr>
          <w:rFonts w:hint="eastAsia" w:ascii="仿宋" w:hAnsi="仿宋" w:eastAsia="仿宋" w:cs="仿宋"/>
          <w:color w:val="auto"/>
          <w:sz w:val="22"/>
          <w:szCs w:val="22"/>
          <w:highlight w:val="none"/>
          <w:lang w:val="zh-CN"/>
        </w:rPr>
        <w:t>.1 提出质疑的供应商应当是参与所质疑项目采购活动的供应商。潜在供应商依法获取其可质疑的招标文件的，可以对招标文件提出质疑。</w:t>
      </w:r>
    </w:p>
    <w:p w14:paraId="38D90A54">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30</w:t>
      </w: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rPr>
        <w:t>供应商认为招标文件、招标过程和采购结果使自己的权益受到损害的，可以在知道或应知其权益受到损害之日起七个工作日内，以书面形式向招标代理或采购人提出质疑。上述应知其权益受到损害之日，是指：</w:t>
      </w:r>
    </w:p>
    <w:p w14:paraId="16428C74">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val="zh-CN"/>
        </w:rPr>
        <w:t>对可以质疑的招标文件提出质疑的，为收到招标文件之日或者招标文件公告期限届满之日；</w:t>
      </w:r>
    </w:p>
    <w:p w14:paraId="5208AFA2">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val="zh-CN"/>
        </w:rPr>
        <w:t>对采购过程提出质疑的，为各采购程序环节结束之日；</w:t>
      </w:r>
    </w:p>
    <w:p w14:paraId="404D271F">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（3）</w:t>
      </w:r>
      <w:r>
        <w:rPr>
          <w:rFonts w:hint="eastAsia" w:ascii="仿宋" w:hAnsi="仿宋" w:eastAsia="仿宋" w:cs="仿宋"/>
          <w:color w:val="auto"/>
          <w:sz w:val="22"/>
          <w:szCs w:val="22"/>
          <w:highlight w:val="none"/>
          <w:lang w:val="zh-CN"/>
        </w:rPr>
        <w:t>对中标结果提出质疑的，为中标结果公告期限届满之日。</w:t>
      </w:r>
    </w:p>
    <w:p w14:paraId="512B47C5">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供应商应当在法定质疑期内一次性提出针对同一采购程序环节的质疑。供应商如在法定期限内对同一采购程序环节提出多次质疑的，招标代理、采购人将只对供应商第一次质疑作出答复。</w:t>
      </w:r>
    </w:p>
    <w:p w14:paraId="660B1ED3">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30</w:t>
      </w: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 xml:space="preserve">3 </w:t>
      </w:r>
      <w:r>
        <w:rPr>
          <w:rFonts w:hint="eastAsia" w:ascii="仿宋" w:hAnsi="仿宋" w:eastAsia="仿宋" w:cs="仿宋"/>
          <w:color w:val="auto"/>
          <w:sz w:val="22"/>
          <w:szCs w:val="22"/>
          <w:highlight w:val="none"/>
          <w:lang w:val="zh-CN"/>
        </w:rPr>
        <w:t>质疑必须以参加投标的法定代表人或授权代表（投标文件中所确定的）纸质原件送达的方式提交。</w:t>
      </w:r>
    </w:p>
    <w:p w14:paraId="6F74BDCD">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 xml:space="preserve">30.4 </w:t>
      </w:r>
      <w:r>
        <w:rPr>
          <w:rFonts w:hint="eastAsia" w:ascii="仿宋" w:hAnsi="仿宋" w:eastAsia="仿宋" w:cs="仿宋"/>
          <w:color w:val="auto"/>
          <w:sz w:val="22"/>
          <w:szCs w:val="22"/>
          <w:highlight w:val="none"/>
          <w:lang w:val="zh-CN"/>
        </w:rPr>
        <w:t>未参加投标活动的投标人或在投标活动中自身权益未受到损害的投标人所提出的质疑不予受理。</w:t>
      </w:r>
    </w:p>
    <w:p w14:paraId="3A15B787">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30</w:t>
      </w: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 xml:space="preserve">5 </w:t>
      </w:r>
      <w:r>
        <w:rPr>
          <w:rFonts w:hint="eastAsia" w:ascii="仿宋" w:hAnsi="仿宋" w:eastAsia="仿宋" w:cs="仿宋"/>
          <w:color w:val="auto"/>
          <w:sz w:val="22"/>
          <w:szCs w:val="22"/>
          <w:highlight w:val="none"/>
          <w:lang w:val="zh-CN"/>
        </w:rPr>
        <w:t>质疑函应当包括下列内容：</w:t>
      </w:r>
    </w:p>
    <w:p w14:paraId="1F3BFA80">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val="zh-CN"/>
        </w:rPr>
        <w:t>质疑投标人的名称、地址、邮编、联系人、联系电话；</w:t>
      </w:r>
    </w:p>
    <w:p w14:paraId="34DE9345">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val="zh-CN"/>
        </w:rPr>
        <w:t>具体的质疑事项及明确的请求；</w:t>
      </w:r>
    </w:p>
    <w:p w14:paraId="046A3380">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（3）</w:t>
      </w:r>
      <w:r>
        <w:rPr>
          <w:rFonts w:hint="eastAsia" w:ascii="仿宋" w:hAnsi="仿宋" w:eastAsia="仿宋" w:cs="仿宋"/>
          <w:color w:val="auto"/>
          <w:sz w:val="22"/>
          <w:szCs w:val="22"/>
          <w:highlight w:val="none"/>
          <w:lang w:val="zh-CN"/>
        </w:rPr>
        <w:t>认为自己合法权益受到损害或可能受到损害的相关证据材料；</w:t>
      </w:r>
    </w:p>
    <w:p w14:paraId="7A8DFD97">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（4）</w:t>
      </w:r>
      <w:r>
        <w:rPr>
          <w:rFonts w:hint="eastAsia" w:ascii="仿宋" w:hAnsi="仿宋" w:eastAsia="仿宋" w:cs="仿宋"/>
          <w:color w:val="auto"/>
          <w:sz w:val="22"/>
          <w:szCs w:val="22"/>
          <w:highlight w:val="none"/>
          <w:lang w:val="zh-CN"/>
        </w:rPr>
        <w:t>提起质疑的日期；</w:t>
      </w:r>
    </w:p>
    <w:p w14:paraId="706FB40B">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（5）</w:t>
      </w:r>
      <w:r>
        <w:rPr>
          <w:rFonts w:hint="eastAsia" w:ascii="仿宋" w:hAnsi="仿宋" w:eastAsia="仿宋" w:cs="仿宋"/>
          <w:color w:val="auto"/>
          <w:sz w:val="22"/>
          <w:szCs w:val="22"/>
          <w:highlight w:val="none"/>
          <w:lang w:val="zh-CN"/>
        </w:rPr>
        <w:t>质疑函应当署名：质疑人为自然人的，应当由本人签字并附有效身份证明；质疑人为法人或其他组织的，应当由法定代表人签字并加盖单位公章。质疑人委托代理质疑的，应当向招标代理机构提交授权委托书，并载明委托代理的具体权限和事项。</w:t>
      </w:r>
    </w:p>
    <w:p w14:paraId="7ED334E9">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30</w:t>
      </w: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6 招标</w:t>
      </w:r>
      <w:r>
        <w:rPr>
          <w:rFonts w:hint="eastAsia" w:ascii="仿宋" w:hAnsi="仿宋" w:eastAsia="仿宋" w:cs="仿宋"/>
          <w:color w:val="auto"/>
          <w:sz w:val="22"/>
          <w:szCs w:val="22"/>
          <w:highlight w:val="none"/>
          <w:lang w:val="zh-CN"/>
        </w:rPr>
        <w:t>代理机构收到质疑函后，将对质疑的形式和内容进行审查，如质疑函内容、格式不符合规定，招标代理机构将告知质疑人进行补正。</w:t>
      </w:r>
    </w:p>
    <w:p w14:paraId="65E23534">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30</w:t>
      </w: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 xml:space="preserve">7 </w:t>
      </w:r>
      <w:r>
        <w:rPr>
          <w:rFonts w:hint="eastAsia" w:ascii="仿宋" w:hAnsi="仿宋" w:eastAsia="仿宋" w:cs="仿宋"/>
          <w:color w:val="auto"/>
          <w:sz w:val="22"/>
          <w:szCs w:val="22"/>
          <w:highlight w:val="none"/>
          <w:lang w:val="zh-CN"/>
        </w:rPr>
        <w:t>质疑人应当在法定质疑期限内进行补正并重新提交质疑函，拒不补正或者在法定期限内未重新提交质疑函的，为无效质疑，招标代理机构有权不予受理。</w:t>
      </w:r>
    </w:p>
    <w:p w14:paraId="15739EB8">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30</w:t>
      </w: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8</w:t>
      </w:r>
      <w:r>
        <w:rPr>
          <w:rFonts w:hint="eastAsia" w:ascii="仿宋" w:hAnsi="仿宋" w:eastAsia="仿宋" w:cs="仿宋"/>
          <w:color w:val="auto"/>
          <w:sz w:val="22"/>
          <w:szCs w:val="22"/>
          <w:highlight w:val="none"/>
          <w:lang w:val="zh-CN"/>
        </w:rPr>
        <w:t xml:space="preserve"> 以下情形的质疑不予受理</w:t>
      </w:r>
    </w:p>
    <w:p w14:paraId="0ACE7397">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val="zh-CN"/>
        </w:rPr>
        <w:t>内容不符合《政府采购质疑和投诉办法》第十二条规定的质疑。</w:t>
      </w:r>
    </w:p>
    <w:p w14:paraId="69DDE69A">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val="zh-CN"/>
        </w:rPr>
        <w:t>）超出政府采购法定期限的质疑。</w:t>
      </w:r>
    </w:p>
    <w:p w14:paraId="4D1C1379">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3</w:t>
      </w:r>
      <w:r>
        <w:rPr>
          <w:rFonts w:hint="eastAsia" w:ascii="仿宋" w:hAnsi="仿宋" w:eastAsia="仿宋" w:cs="仿宋"/>
          <w:color w:val="auto"/>
          <w:sz w:val="22"/>
          <w:szCs w:val="22"/>
          <w:highlight w:val="none"/>
          <w:lang w:val="zh-CN"/>
        </w:rPr>
        <w:t>）以传真、电子邮件等方式递交的非原件形式的质疑。</w:t>
      </w:r>
    </w:p>
    <w:p w14:paraId="36907F8C">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4</w:t>
      </w:r>
      <w:r>
        <w:rPr>
          <w:rFonts w:hint="eastAsia" w:ascii="仿宋" w:hAnsi="仿宋" w:eastAsia="仿宋" w:cs="仿宋"/>
          <w:color w:val="auto"/>
          <w:sz w:val="22"/>
          <w:szCs w:val="22"/>
          <w:highlight w:val="none"/>
          <w:lang w:val="zh-CN"/>
        </w:rPr>
        <w:t>）未参加投标活动的投标人或在投标活动中自身权益未受到损害的投标人所提出的质疑。</w:t>
      </w:r>
    </w:p>
    <w:p w14:paraId="0D581260">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5</w:t>
      </w:r>
      <w:r>
        <w:rPr>
          <w:rFonts w:hint="eastAsia" w:ascii="仿宋" w:hAnsi="仿宋" w:eastAsia="仿宋" w:cs="仿宋"/>
          <w:color w:val="auto"/>
          <w:sz w:val="22"/>
          <w:szCs w:val="22"/>
          <w:highlight w:val="none"/>
          <w:lang w:val="zh-CN"/>
        </w:rPr>
        <w:t>）投标人组成联合体参加投标，联合体中任何一方或多方未按要求签字、盖章、加盖公章的质疑。</w:t>
      </w:r>
    </w:p>
    <w:p w14:paraId="22226CAD">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30</w:t>
      </w:r>
      <w:r>
        <w:rPr>
          <w:rFonts w:hint="eastAsia" w:ascii="仿宋" w:hAnsi="仿宋" w:eastAsia="仿宋" w:cs="仿宋"/>
          <w:color w:val="auto"/>
          <w:sz w:val="22"/>
          <w:szCs w:val="22"/>
          <w:highlight w:val="none"/>
          <w:lang w:val="zh-CN"/>
        </w:rPr>
        <w:t>.</w:t>
      </w:r>
      <w:r>
        <w:rPr>
          <w:rFonts w:hint="eastAsia" w:ascii="仿宋" w:hAnsi="仿宋" w:eastAsia="仿宋" w:cs="仿宋"/>
          <w:color w:val="auto"/>
          <w:sz w:val="22"/>
          <w:szCs w:val="22"/>
          <w:highlight w:val="none"/>
        </w:rPr>
        <w:t>9</w:t>
      </w:r>
      <w:r>
        <w:rPr>
          <w:rFonts w:hint="eastAsia" w:ascii="仿宋" w:hAnsi="仿宋" w:eastAsia="仿宋" w:cs="仿宋"/>
          <w:color w:val="auto"/>
          <w:sz w:val="22"/>
          <w:szCs w:val="22"/>
          <w:highlight w:val="none"/>
          <w:lang w:val="zh-CN"/>
        </w:rPr>
        <w:t xml:space="preserve"> 投标人提出书面质疑必须有理、有据，不得捏造事实、提供虚假材料进行恶意质疑。否则，一经查实，招标代理有权依据政府采购的有关规定，报请政府采购监管部门对该投标人进行相应的行政处罚和记录该投标人的失信信息。</w:t>
      </w:r>
    </w:p>
    <w:p w14:paraId="313C5C11">
      <w:pPr>
        <w:pStyle w:val="194"/>
        <w:spacing w:before="0" w:after="0" w:line="360" w:lineRule="exact"/>
        <w:ind w:firstLine="361"/>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31.中标通知书</w:t>
      </w:r>
    </w:p>
    <w:p w14:paraId="1230648E">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31</w:t>
      </w:r>
      <w:r>
        <w:rPr>
          <w:rFonts w:hint="eastAsia" w:ascii="仿宋" w:hAnsi="仿宋" w:eastAsia="仿宋" w:cs="仿宋"/>
          <w:color w:val="auto"/>
          <w:sz w:val="22"/>
          <w:szCs w:val="22"/>
          <w:highlight w:val="none"/>
          <w:lang w:val="zh-CN"/>
        </w:rPr>
        <w:t>.l 中标结果确定后，招标代理将向中标人发出中标通知书。请中标人在中标结果公示期满后，主动与项目负责人联系领取中标通知书。</w:t>
      </w:r>
    </w:p>
    <w:p w14:paraId="56FA516C">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rPr>
        <w:t>31</w:t>
      </w:r>
      <w:r>
        <w:rPr>
          <w:rFonts w:hint="eastAsia" w:ascii="仿宋" w:hAnsi="仿宋" w:eastAsia="仿宋" w:cs="仿宋"/>
          <w:color w:val="auto"/>
          <w:sz w:val="22"/>
          <w:szCs w:val="22"/>
          <w:highlight w:val="none"/>
          <w:lang w:val="zh-CN"/>
        </w:rPr>
        <w:t>.2</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rPr>
        <w:t>中标通知书将是合同的一个组成部分。对采购人和中标人均具有法律效力。中标通知书发出后，采购人改变中标结果的，或者中标人放弃中标项目的，应当依法承担法律责任。</w:t>
      </w:r>
    </w:p>
    <w:p w14:paraId="1117103D">
      <w:pPr>
        <w:pStyle w:val="192"/>
        <w:spacing w:before="0" w:after="0" w:line="360" w:lineRule="exact"/>
        <w:ind w:firstLine="498"/>
        <w:rPr>
          <w:rFonts w:ascii="仿宋" w:hAnsi="仿宋" w:eastAsia="仿宋" w:cs="仿宋"/>
          <w:color w:val="auto"/>
          <w:highlight w:val="none"/>
        </w:rPr>
      </w:pPr>
      <w:bookmarkStart w:id="271" w:name="_Toc120614220"/>
      <w:bookmarkStart w:id="272" w:name="_Toc16938552"/>
      <w:bookmarkStart w:id="273" w:name="_Toc25696"/>
      <w:bookmarkStart w:id="274" w:name="_Toc20823308"/>
      <w:bookmarkStart w:id="275" w:name="_Toc25681"/>
      <w:bookmarkStart w:id="276" w:name="_Toc1711"/>
      <w:bookmarkStart w:id="277" w:name="_Toc513029236"/>
      <w:r>
        <w:rPr>
          <w:rFonts w:hint="eastAsia" w:ascii="仿宋" w:hAnsi="仿宋" w:eastAsia="仿宋" w:cs="仿宋"/>
          <w:color w:val="auto"/>
          <w:highlight w:val="none"/>
        </w:rPr>
        <w:t>七、授予合同</w:t>
      </w:r>
      <w:bookmarkEnd w:id="271"/>
      <w:bookmarkEnd w:id="272"/>
      <w:bookmarkEnd w:id="273"/>
      <w:bookmarkEnd w:id="274"/>
      <w:bookmarkEnd w:id="275"/>
      <w:bookmarkEnd w:id="276"/>
      <w:bookmarkEnd w:id="277"/>
    </w:p>
    <w:p w14:paraId="32ADF8E1">
      <w:pPr>
        <w:pStyle w:val="194"/>
        <w:spacing w:before="0" w:after="0" w:line="360" w:lineRule="exact"/>
        <w:ind w:firstLine="361"/>
        <w:rPr>
          <w:rFonts w:ascii="仿宋" w:hAnsi="仿宋" w:eastAsia="仿宋" w:cs="仿宋"/>
          <w:color w:val="auto"/>
          <w:sz w:val="24"/>
          <w:szCs w:val="24"/>
          <w:highlight w:val="none"/>
        </w:rPr>
      </w:pPr>
      <w:bookmarkStart w:id="278" w:name="_Toc513029237"/>
      <w:bookmarkStart w:id="279" w:name="_Toc20823309"/>
      <w:bookmarkStart w:id="280" w:name="_Toc16938553"/>
      <w:r>
        <w:rPr>
          <w:rFonts w:hint="eastAsia" w:ascii="仿宋" w:hAnsi="仿宋" w:eastAsia="仿宋" w:cs="仿宋"/>
          <w:color w:val="auto"/>
          <w:sz w:val="24"/>
          <w:szCs w:val="24"/>
          <w:highlight w:val="none"/>
        </w:rPr>
        <w:t>32.签订合同</w:t>
      </w:r>
    </w:p>
    <w:p w14:paraId="2626EE43">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3</w:t>
      </w: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val="zh-CN"/>
        </w:rPr>
        <w:t>.l</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rPr>
        <w:t>中标人应当在中标通知书发出之日起三十日内，按照招标文件确定的事项与采购人签订政府采购合同。</w:t>
      </w:r>
    </w:p>
    <w:p w14:paraId="6B6B5C66">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3</w:t>
      </w: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val="zh-CN"/>
        </w:rPr>
        <w:t>.2 招标文件、中标人的投标文件及招标过程中有关澄清、承诺文件均应作为合同附件。</w:t>
      </w:r>
    </w:p>
    <w:p w14:paraId="054ED0E1">
      <w:pPr>
        <w:spacing w:line="360" w:lineRule="exact"/>
        <w:ind w:firstLine="440"/>
        <w:rPr>
          <w:rFonts w:ascii="仿宋" w:hAnsi="仿宋" w:eastAsia="仿宋" w:cs="仿宋"/>
          <w:color w:val="auto"/>
          <w:sz w:val="22"/>
          <w:szCs w:val="22"/>
          <w:highlight w:val="none"/>
        </w:rPr>
      </w:pPr>
      <w:r>
        <w:rPr>
          <w:rFonts w:hint="eastAsia" w:ascii="仿宋" w:hAnsi="仿宋" w:eastAsia="仿宋" w:cs="仿宋"/>
          <w:color w:val="auto"/>
          <w:sz w:val="22"/>
          <w:szCs w:val="22"/>
          <w:highlight w:val="none"/>
          <w:lang w:val="zh-CN"/>
        </w:rPr>
        <w:t>3</w:t>
      </w: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val="zh-CN"/>
        </w:rPr>
        <w:t>.3 签订合同后，中标人不得将合同标的进行转包。未经采购人同意，中标人也不得采用分包的形式履行合同，否则采购人有权终止合同。转包或分包造成采购人损失的，中标人应承担相应赔偿责任。</w:t>
      </w:r>
    </w:p>
    <w:p w14:paraId="61356FD5">
      <w:pPr>
        <w:pStyle w:val="194"/>
        <w:spacing w:before="0" w:after="0" w:line="360" w:lineRule="exact"/>
        <w:ind w:firstLine="361"/>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33.服务（包含与服务相关的产品）的追加</w:t>
      </w:r>
    </w:p>
    <w:p w14:paraId="193F6302">
      <w:pPr>
        <w:spacing w:line="360" w:lineRule="exact"/>
        <w:ind w:firstLine="440"/>
        <w:rPr>
          <w:rFonts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3</w:t>
      </w:r>
      <w:r>
        <w:rPr>
          <w:rFonts w:hint="eastAsia" w:ascii="仿宋" w:hAnsi="仿宋" w:eastAsia="仿宋" w:cs="仿宋"/>
          <w:color w:val="auto"/>
          <w:sz w:val="22"/>
          <w:szCs w:val="22"/>
          <w:highlight w:val="none"/>
        </w:rPr>
        <w:t>3</w:t>
      </w:r>
      <w:r>
        <w:rPr>
          <w:rFonts w:hint="eastAsia" w:ascii="仿宋" w:hAnsi="仿宋" w:eastAsia="仿宋" w:cs="仿宋"/>
          <w:color w:val="auto"/>
          <w:sz w:val="22"/>
          <w:szCs w:val="22"/>
          <w:highlight w:val="none"/>
          <w:lang w:val="zh-CN"/>
        </w:rPr>
        <w:t>.1</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lang w:val="zh-CN"/>
        </w:rPr>
        <w:t>政府采购合同履行中，采购人需追加与合同标的相同的服务（包含与服务相关的产品）的，在不改变合同其他条款的前提下，可以与中标人协商签订补充合同，但所有补充合同的采购金额不超过原合同金额10%。</w:t>
      </w:r>
      <w:bookmarkEnd w:id="278"/>
      <w:bookmarkEnd w:id="279"/>
      <w:bookmarkEnd w:id="280"/>
    </w:p>
    <w:p w14:paraId="474A9567">
      <w:pPr>
        <w:pStyle w:val="212"/>
        <w:ind w:left="0"/>
        <w:rPr>
          <w:rFonts w:ascii="仿宋" w:hAnsi="仿宋" w:eastAsia="仿宋" w:cs="仿宋"/>
          <w:color w:val="auto"/>
          <w:highlight w:val="none"/>
        </w:rPr>
      </w:pPr>
      <w:bookmarkStart w:id="281" w:name="_Toc513029242"/>
      <w:bookmarkStart w:id="282" w:name="_Toc479757207"/>
      <w:bookmarkStart w:id="283" w:name="_Toc20823314"/>
      <w:bookmarkStart w:id="284" w:name="_Toc120614221"/>
      <w:bookmarkStart w:id="285" w:name="_Toc16938558"/>
    </w:p>
    <w:bookmarkEnd w:id="281"/>
    <w:bookmarkEnd w:id="282"/>
    <w:bookmarkEnd w:id="283"/>
    <w:bookmarkEnd w:id="284"/>
    <w:bookmarkEnd w:id="285"/>
    <w:p w14:paraId="782E1C4A">
      <w:pPr>
        <w:pStyle w:val="190"/>
        <w:jc w:val="both"/>
        <w:rPr>
          <w:rFonts w:ascii="仿宋" w:hAnsi="仿宋" w:eastAsia="仿宋" w:cs="仿宋"/>
          <w:bCs/>
          <w:color w:val="auto"/>
          <w:sz w:val="44"/>
          <w:highlight w:val="none"/>
        </w:rPr>
      </w:pPr>
      <w:bookmarkStart w:id="286" w:name="_Toc2521"/>
      <w:bookmarkStart w:id="287" w:name="_Hlt16619350"/>
      <w:bookmarkStart w:id="288" w:name="_Toc16938590"/>
      <w:bookmarkStart w:id="289" w:name="_Toc20823346"/>
      <w:bookmarkStart w:id="290" w:name="_Toc120614244"/>
      <w:bookmarkStart w:id="291" w:name="_Toc479757211"/>
      <w:bookmarkStart w:id="292" w:name="_Toc462564139"/>
      <w:r>
        <w:rPr>
          <w:rFonts w:hint="eastAsia" w:ascii="仿宋" w:hAnsi="仿宋" w:eastAsia="仿宋" w:cs="仿宋"/>
          <w:bCs/>
          <w:color w:val="auto"/>
          <w:sz w:val="44"/>
          <w:highlight w:val="none"/>
        </w:rPr>
        <w:br w:type="page" w:clear="all"/>
      </w:r>
      <w:bookmarkStart w:id="293" w:name="_Toc1070"/>
      <w:r>
        <w:rPr>
          <w:rFonts w:hint="eastAsia" w:ascii="仿宋" w:hAnsi="仿宋" w:eastAsia="仿宋" w:cs="仿宋"/>
          <w:b/>
          <w:bCs/>
          <w:color w:val="auto"/>
          <w:sz w:val="40"/>
          <w:szCs w:val="40"/>
          <w:highlight w:val="none"/>
        </w:rPr>
        <w:t>第三章  合同文本</w:t>
      </w:r>
      <w:bookmarkEnd w:id="286"/>
      <w:r>
        <w:rPr>
          <w:rFonts w:hint="eastAsia" w:ascii="仿宋" w:hAnsi="仿宋" w:eastAsia="仿宋" w:cs="仿宋"/>
          <w:b/>
          <w:bCs/>
          <w:color w:val="auto"/>
          <w:sz w:val="40"/>
          <w:szCs w:val="40"/>
          <w:highlight w:val="none"/>
        </w:rPr>
        <w:t>（服务）</w:t>
      </w:r>
      <w:bookmarkEnd w:id="293"/>
    </w:p>
    <w:p w14:paraId="666D1187">
      <w:pPr>
        <w:spacing w:line="579" w:lineRule="exact"/>
        <w:rPr>
          <w:rFonts w:ascii="仿宋" w:hAnsi="仿宋" w:eastAsia="仿宋" w:cs="仿宋"/>
          <w:b/>
          <w:bCs/>
          <w:color w:val="auto"/>
          <w:sz w:val="32"/>
          <w:szCs w:val="32"/>
          <w:highlight w:val="none"/>
        </w:rPr>
      </w:pPr>
      <w:r>
        <w:rPr>
          <w:rFonts w:hint="eastAsia" w:ascii="仿宋" w:hAnsi="仿宋" w:eastAsia="仿宋" w:cs="仿宋"/>
          <w:color w:val="auto"/>
          <w:sz w:val="32"/>
          <w:szCs w:val="32"/>
          <w:highlight w:val="none"/>
        </w:rPr>
        <w:t xml:space="preserve">合同编号： </w:t>
      </w:r>
    </w:p>
    <w:p w14:paraId="34CE7A9F">
      <w:pPr>
        <w:spacing w:line="500" w:lineRule="exact"/>
        <w:rPr>
          <w:rFonts w:ascii="仿宋" w:hAnsi="仿宋" w:eastAsia="仿宋" w:cs="仿宋"/>
          <w:b/>
          <w:bCs/>
          <w:color w:val="auto"/>
          <w:sz w:val="36"/>
          <w:szCs w:val="36"/>
          <w:highlight w:val="none"/>
        </w:rPr>
      </w:pPr>
    </w:p>
    <w:p w14:paraId="09B727DB">
      <w:pPr>
        <w:spacing w:line="500" w:lineRule="exact"/>
        <w:ind w:firstLine="723"/>
        <w:rPr>
          <w:rFonts w:ascii="仿宋" w:hAnsi="仿宋" w:eastAsia="仿宋" w:cs="仿宋"/>
          <w:b/>
          <w:bCs/>
          <w:color w:val="auto"/>
          <w:sz w:val="36"/>
          <w:szCs w:val="36"/>
          <w:highlight w:val="none"/>
        </w:rPr>
      </w:pPr>
    </w:p>
    <w:p w14:paraId="01712919">
      <w:pPr>
        <w:spacing w:line="500" w:lineRule="exact"/>
        <w:ind w:firstLine="723"/>
        <w:rPr>
          <w:rFonts w:ascii="仿宋" w:hAnsi="仿宋" w:eastAsia="仿宋" w:cs="仿宋"/>
          <w:b/>
          <w:bCs/>
          <w:color w:val="auto"/>
          <w:sz w:val="36"/>
          <w:szCs w:val="36"/>
          <w:highlight w:val="none"/>
        </w:rPr>
      </w:pPr>
    </w:p>
    <w:p w14:paraId="6861BCEE">
      <w:pPr>
        <w:spacing w:line="500" w:lineRule="exact"/>
        <w:ind w:firstLine="723"/>
        <w:rPr>
          <w:rFonts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 xml:space="preserve">                 </w:t>
      </w:r>
    </w:p>
    <w:p w14:paraId="533A5065">
      <w:pPr>
        <w:tabs>
          <w:tab w:val="center" w:pos="4476"/>
          <w:tab w:val="left" w:pos="7335"/>
        </w:tabs>
        <w:spacing w:line="360" w:lineRule="auto"/>
        <w:jc w:val="center"/>
        <w:rPr>
          <w:rFonts w:ascii="Calibri" w:hAnsi="Calibri" w:eastAsia="方正小标宋_GBK"/>
          <w:bCs/>
          <w:color w:val="auto"/>
          <w:sz w:val="52"/>
          <w:szCs w:val="52"/>
          <w:highlight w:val="none"/>
        </w:rPr>
      </w:pPr>
      <w:bookmarkStart w:id="294" w:name="_Toc20439"/>
      <w:r>
        <w:rPr>
          <w:rFonts w:hint="eastAsia" w:ascii="仿宋" w:hAnsi="仿宋" w:eastAsia="仿宋" w:cs="仿宋"/>
          <w:b/>
          <w:color w:val="auto"/>
          <w:sz w:val="52"/>
          <w:szCs w:val="52"/>
          <w:highlight w:val="none"/>
        </w:rPr>
        <w:t>省交通综合执法局政府采购合同</w:t>
      </w:r>
      <w:bookmarkEnd w:id="294"/>
    </w:p>
    <w:p w14:paraId="2CB782BA">
      <w:pPr>
        <w:tabs>
          <w:tab w:val="center" w:pos="4476"/>
          <w:tab w:val="left" w:pos="7335"/>
        </w:tabs>
        <w:spacing w:line="360" w:lineRule="auto"/>
        <w:jc w:val="center"/>
        <w:rPr>
          <w:rFonts w:eastAsia="方正小标宋_GBK"/>
          <w:color w:val="auto"/>
          <w:sz w:val="36"/>
          <w:szCs w:val="36"/>
          <w:highlight w:val="none"/>
        </w:rPr>
      </w:pPr>
      <w:bookmarkStart w:id="295" w:name="_Toc6902"/>
      <w:r>
        <w:rPr>
          <w:rFonts w:eastAsia="方正小标宋_GBK"/>
          <w:color w:val="auto"/>
          <w:sz w:val="36"/>
          <w:szCs w:val="36"/>
          <w:highlight w:val="none"/>
        </w:rPr>
        <w:t>（服务类</w:t>
      </w:r>
      <w:r>
        <w:rPr>
          <w:rFonts w:hint="eastAsia" w:eastAsia="方正小标宋_GBK"/>
          <w:color w:val="auto"/>
          <w:sz w:val="36"/>
          <w:szCs w:val="36"/>
          <w:highlight w:val="none"/>
        </w:rPr>
        <w:t>示范</w:t>
      </w:r>
      <w:r>
        <w:rPr>
          <w:rFonts w:eastAsia="方正小标宋_GBK"/>
          <w:color w:val="auto"/>
          <w:sz w:val="36"/>
          <w:szCs w:val="36"/>
          <w:highlight w:val="none"/>
        </w:rPr>
        <w:t>文本）</w:t>
      </w:r>
      <w:bookmarkEnd w:id="295"/>
    </w:p>
    <w:p w14:paraId="5FD7231D">
      <w:pPr>
        <w:tabs>
          <w:tab w:val="center" w:pos="4476"/>
          <w:tab w:val="left" w:pos="7335"/>
        </w:tabs>
        <w:spacing w:line="360" w:lineRule="auto"/>
        <w:jc w:val="center"/>
        <w:rPr>
          <w:rFonts w:eastAsia="方正小标宋_GBK"/>
          <w:bCs/>
          <w:color w:val="auto"/>
          <w:sz w:val="36"/>
          <w:szCs w:val="36"/>
          <w:highlight w:val="none"/>
        </w:rPr>
      </w:pPr>
    </w:p>
    <w:p w14:paraId="082BF77D">
      <w:pPr>
        <w:tabs>
          <w:tab w:val="right" w:pos="8953"/>
        </w:tabs>
        <w:spacing w:line="360" w:lineRule="auto"/>
        <w:ind w:firstLine="720"/>
        <w:rPr>
          <w:color w:val="auto"/>
          <w:sz w:val="36"/>
          <w:szCs w:val="36"/>
          <w:highlight w:val="none"/>
        </w:rPr>
      </w:pPr>
    </w:p>
    <w:p w14:paraId="07AF9DA6">
      <w:pPr>
        <w:tabs>
          <w:tab w:val="right" w:pos="8953"/>
        </w:tabs>
        <w:spacing w:line="360" w:lineRule="auto"/>
        <w:ind w:firstLine="720"/>
        <w:rPr>
          <w:color w:val="auto"/>
          <w:sz w:val="36"/>
          <w:szCs w:val="36"/>
          <w:highlight w:val="none"/>
        </w:rPr>
      </w:pPr>
    </w:p>
    <w:p w14:paraId="41317080">
      <w:pPr>
        <w:tabs>
          <w:tab w:val="right" w:pos="8953"/>
        </w:tabs>
        <w:spacing w:line="360" w:lineRule="auto"/>
        <w:ind w:firstLine="720"/>
        <w:rPr>
          <w:color w:val="auto"/>
          <w:sz w:val="36"/>
          <w:szCs w:val="36"/>
          <w:highlight w:val="none"/>
        </w:rPr>
      </w:pPr>
    </w:p>
    <w:p w14:paraId="7D5BF043">
      <w:pPr>
        <w:tabs>
          <w:tab w:val="right" w:pos="8953"/>
        </w:tabs>
        <w:spacing w:line="360" w:lineRule="auto"/>
        <w:ind w:firstLine="720"/>
        <w:jc w:val="left"/>
        <w:rPr>
          <w:color w:val="auto"/>
          <w:sz w:val="36"/>
          <w:szCs w:val="36"/>
          <w:highlight w:val="none"/>
        </w:rPr>
      </w:pPr>
    </w:p>
    <w:p w14:paraId="634CD1D2">
      <w:pPr>
        <w:tabs>
          <w:tab w:val="right" w:pos="8953"/>
        </w:tabs>
        <w:spacing w:line="360" w:lineRule="auto"/>
        <w:ind w:left="1928" w:hanging="1928"/>
        <w:jc w:val="left"/>
        <w:rPr>
          <w:rFonts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rPr>
        <w:t>项目名称 ：</w:t>
      </w:r>
      <w:r>
        <w:rPr>
          <w:rFonts w:hint="eastAsia" w:ascii="仿宋" w:hAnsi="仿宋" w:eastAsia="仿宋" w:cs="仿宋"/>
          <w:b/>
          <w:color w:val="auto"/>
          <w:sz w:val="24"/>
          <w:szCs w:val="24"/>
          <w:highlight w:val="none"/>
          <w:u w:val="single"/>
          <w:lang w:eastAsia="zh-CN"/>
        </w:rPr>
        <w:t>高速公路交通情况统计调查、路网运行监测与管控辅助服务</w:t>
      </w:r>
      <w:r>
        <w:rPr>
          <w:rFonts w:hint="eastAsia" w:ascii="仿宋" w:hAnsi="仿宋" w:eastAsia="仿宋" w:cs="仿宋"/>
          <w:b/>
          <w:color w:val="auto"/>
          <w:sz w:val="24"/>
          <w:szCs w:val="24"/>
          <w:highlight w:val="none"/>
          <w:u w:val="single"/>
        </w:rPr>
        <w:t xml:space="preserve"> </w:t>
      </w:r>
    </w:p>
    <w:p w14:paraId="2CA1ADC6">
      <w:pPr>
        <w:spacing w:line="360" w:lineRule="auto"/>
        <w:rPr>
          <w:rFonts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rPr>
        <w:t>甲方（买方）：</w:t>
      </w:r>
      <w:r>
        <w:rPr>
          <w:color w:val="auto"/>
          <w:highlight w:val="none"/>
        </w:rPr>
        <w:fldChar w:fldCharType="begin"/>
      </w:r>
      <w:r>
        <w:rPr>
          <w:color w:val="auto"/>
          <w:highlight w:val="none"/>
        </w:rPr>
        <w:instrText xml:space="preserve"> HYPERLINK "http://www.baidu.com/link?url=x8H3jAlDN4qU2T93-lBuHU7exF1GEpmWCn4tk_O4LacE-KJ1U-3wnnS1P4LJyWLoslsFoWA_SMC5hBEjdRFy3cAwVUv7HVy0u0xaliBn2GKLz3AwwovkHQmwnLOm633dO8T9NEfWCJ915pAI9Lqqk-MzpHq8kAPPYOn2xeBbKOMk9FoLOyQx495drNrc4LwQdRIAwatPVc0M4hc6V2JVg4odMK_69DH00wkHelElYy3T0XzasXjmrSVEfNBl40urZ6wtJAVR26KOvz7tnM7J4jsYo-iEhR24HURM5VUa7GQ5RWo29d8PdnRjsucGH8TXwYRt05kI4Sq3NadHBNEIGN1Nf5iBxMTpc_D4xRVuboe" \t "https://www.baidu.com/_blank" </w:instrText>
      </w:r>
      <w:r>
        <w:rPr>
          <w:color w:val="auto"/>
          <w:highlight w:val="none"/>
        </w:rPr>
        <w:fldChar w:fldCharType="separate"/>
      </w:r>
      <w:r>
        <w:rPr>
          <w:rFonts w:hint="eastAsia" w:ascii="仿宋" w:hAnsi="仿宋" w:eastAsia="仿宋" w:cs="仿宋"/>
          <w:b/>
          <w:color w:val="auto"/>
          <w:sz w:val="24"/>
          <w:szCs w:val="24"/>
          <w:highlight w:val="none"/>
          <w:u w:val="single"/>
        </w:rPr>
        <w:t>江苏省交通运输综合行政执法监督局</w:t>
      </w:r>
      <w:r>
        <w:rPr>
          <w:rFonts w:hint="eastAsia" w:ascii="仿宋" w:hAnsi="仿宋" w:eastAsia="仿宋" w:cs="仿宋"/>
          <w:b/>
          <w:color w:val="auto"/>
          <w:sz w:val="24"/>
          <w:szCs w:val="24"/>
          <w:highlight w:val="none"/>
          <w:u w:val="single"/>
        </w:rPr>
        <w:fldChar w:fldCharType="end"/>
      </w:r>
    </w:p>
    <w:p w14:paraId="4D5871CA">
      <w:pPr>
        <w:spacing w:line="360" w:lineRule="auto"/>
        <w:rPr>
          <w:rFonts w:ascii="仿宋" w:hAnsi="仿宋" w:eastAsia="仿宋" w:cs="仿宋"/>
          <w:b/>
          <w:color w:val="auto"/>
          <w:sz w:val="24"/>
          <w:szCs w:val="24"/>
          <w:highlight w:val="none"/>
          <w:u w:val="single"/>
        </w:rPr>
      </w:pPr>
      <w:r>
        <w:rPr>
          <w:rFonts w:hint="eastAsia" w:ascii="仿宋" w:hAnsi="仿宋" w:eastAsia="仿宋" w:cs="仿宋"/>
          <w:b/>
          <w:color w:val="auto"/>
          <w:sz w:val="24"/>
          <w:szCs w:val="24"/>
          <w:highlight w:val="none"/>
        </w:rPr>
        <w:t>乙方（卖方）：</w:t>
      </w:r>
      <w:r>
        <w:rPr>
          <w:rFonts w:hint="eastAsia" w:ascii="仿宋" w:hAnsi="仿宋" w:eastAsia="仿宋" w:cs="仿宋"/>
          <w:b/>
          <w:color w:val="auto"/>
          <w:sz w:val="24"/>
          <w:szCs w:val="24"/>
          <w:highlight w:val="none"/>
          <w:u w:val="single"/>
        </w:rPr>
        <w:t xml:space="preserve">                                </w:t>
      </w:r>
    </w:p>
    <w:p w14:paraId="4977101C">
      <w:pPr>
        <w:spacing w:line="360" w:lineRule="auto"/>
        <w:ind w:firstLine="211"/>
        <w:rPr>
          <w:rFonts w:ascii="仿宋" w:hAnsi="仿宋" w:eastAsia="仿宋" w:cs="仿宋"/>
          <w:b/>
          <w:color w:val="auto"/>
          <w:szCs w:val="32"/>
          <w:highlight w:val="none"/>
          <w:u w:val="single"/>
        </w:rPr>
      </w:pPr>
    </w:p>
    <w:p w14:paraId="231BC6B2">
      <w:pPr>
        <w:spacing w:line="360" w:lineRule="auto"/>
        <w:ind w:firstLine="720"/>
        <w:rPr>
          <w:rFonts w:ascii="仿宋" w:hAnsi="仿宋" w:eastAsia="仿宋" w:cs="仿宋"/>
          <w:color w:val="auto"/>
          <w:sz w:val="36"/>
          <w:szCs w:val="36"/>
          <w:highlight w:val="none"/>
        </w:rPr>
      </w:pPr>
    </w:p>
    <w:p w14:paraId="66E6B542">
      <w:pPr>
        <w:spacing w:line="360" w:lineRule="auto"/>
        <w:ind w:firstLine="720"/>
        <w:rPr>
          <w:rFonts w:ascii="仿宋" w:hAnsi="仿宋" w:eastAsia="仿宋" w:cs="仿宋"/>
          <w:color w:val="auto"/>
          <w:sz w:val="36"/>
          <w:szCs w:val="36"/>
          <w:highlight w:val="none"/>
        </w:rPr>
      </w:pPr>
    </w:p>
    <w:p w14:paraId="4F9F3FFA">
      <w:pPr>
        <w:pStyle w:val="215"/>
        <w:spacing w:line="360" w:lineRule="auto"/>
        <w:ind w:firstLine="480"/>
        <w:rPr>
          <w:rFonts w:ascii="仿宋" w:hAnsi="仿宋" w:eastAsia="仿宋" w:cs="仿宋"/>
          <w:color w:val="auto"/>
          <w:sz w:val="24"/>
          <w:highlight w:val="none"/>
        </w:rPr>
      </w:pPr>
    </w:p>
    <w:p w14:paraId="5E7A29B8">
      <w:pPr>
        <w:pStyle w:val="215"/>
        <w:spacing w:line="480" w:lineRule="exact"/>
        <w:ind w:firstLine="482"/>
        <w:rPr>
          <w:rFonts w:ascii="仿宋" w:hAnsi="仿宋" w:eastAsia="仿宋" w:cs="仿宋"/>
          <w:b/>
          <w:color w:val="auto"/>
          <w:sz w:val="24"/>
          <w:highlight w:val="none"/>
        </w:rPr>
      </w:pPr>
    </w:p>
    <w:p w14:paraId="1BF769BA">
      <w:pPr>
        <w:pStyle w:val="215"/>
        <w:spacing w:line="480" w:lineRule="exact"/>
        <w:ind w:firstLine="482"/>
        <w:rPr>
          <w:rFonts w:ascii="仿宋" w:hAnsi="仿宋" w:eastAsia="仿宋" w:cs="仿宋"/>
          <w:b/>
          <w:color w:val="auto"/>
          <w:sz w:val="24"/>
          <w:highlight w:val="none"/>
        </w:rPr>
      </w:pPr>
    </w:p>
    <w:p w14:paraId="1471E3A5">
      <w:pPr>
        <w:pStyle w:val="215"/>
        <w:spacing w:line="480" w:lineRule="exact"/>
        <w:ind w:firstLine="482"/>
        <w:rPr>
          <w:rFonts w:ascii="仿宋" w:hAnsi="仿宋" w:eastAsia="仿宋" w:cs="仿宋"/>
          <w:b/>
          <w:color w:val="auto"/>
          <w:sz w:val="24"/>
          <w:highlight w:val="none"/>
        </w:rPr>
      </w:pPr>
    </w:p>
    <w:p w14:paraId="616CBFB0">
      <w:pPr>
        <w:pStyle w:val="215"/>
        <w:spacing w:line="480" w:lineRule="exact"/>
        <w:ind w:firstLine="482"/>
        <w:rPr>
          <w:rFonts w:ascii="仿宋" w:hAnsi="仿宋" w:eastAsia="仿宋" w:cs="仿宋"/>
          <w:b/>
          <w:color w:val="auto"/>
          <w:sz w:val="24"/>
          <w:highlight w:val="none"/>
        </w:rPr>
      </w:pPr>
    </w:p>
    <w:p w14:paraId="135DA34F">
      <w:pPr>
        <w:pStyle w:val="18"/>
        <w:snapToGrid w:val="0"/>
        <w:spacing w:line="380" w:lineRule="exact"/>
        <w:rPr>
          <w:rFonts w:hint="default" w:ascii="仿宋" w:hAnsi="仿宋" w:eastAsia="仿宋" w:cs="仿宋"/>
          <w:b/>
          <w:bCs/>
          <w:snapToGrid w:val="0"/>
          <w:color w:val="auto"/>
          <w:sz w:val="24"/>
          <w:szCs w:val="24"/>
          <w:highlight w:val="none"/>
          <w:u w:val="none" w:color="595959"/>
          <w:lang w:val="en-US" w:eastAsia="zh-CN"/>
        </w:rPr>
      </w:pPr>
      <w:r>
        <w:rPr>
          <w:rFonts w:hint="eastAsia" w:ascii="仿宋" w:hAnsi="仿宋" w:eastAsia="仿宋" w:cs="仿宋"/>
          <w:b/>
          <w:bCs/>
          <w:snapToGrid w:val="0"/>
          <w:color w:val="auto"/>
          <w:sz w:val="24"/>
          <w:szCs w:val="24"/>
          <w:highlight w:val="none"/>
          <w:u w:val="none" w:color="595959"/>
          <w:lang w:val="en-US" w:eastAsia="zh-CN"/>
        </w:rPr>
        <w:t>分包一合同：高速公路交通统计与路网日常监测辅助服务</w:t>
      </w:r>
    </w:p>
    <w:p w14:paraId="1580CFBB">
      <w:pPr>
        <w:pStyle w:val="18"/>
        <w:snapToGrid w:val="0"/>
        <w:spacing w:line="380" w:lineRule="exact"/>
        <w:rPr>
          <w:rFonts w:hint="eastAsia" w:ascii="仿宋" w:hAnsi="仿宋" w:eastAsia="仿宋" w:cs="仿宋"/>
          <w:b/>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甲、乙双方根据</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single" w:color="595959"/>
          <w:lang w:val="en-US" w:eastAsia="zh-CN"/>
        </w:rPr>
        <w:t>江苏柒采招标代理有限公司</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single" w:color="595959"/>
          <w:lang w:eastAsia="zh-CN"/>
        </w:rPr>
        <w:t>（</w:t>
      </w:r>
      <w:r>
        <w:rPr>
          <w:rFonts w:hint="eastAsia" w:ascii="仿宋" w:hAnsi="仿宋" w:eastAsia="仿宋" w:cs="仿宋"/>
          <w:snapToGrid w:val="0"/>
          <w:color w:val="auto"/>
          <w:sz w:val="24"/>
          <w:szCs w:val="24"/>
          <w:highlight w:val="none"/>
          <w:u w:val="none" w:color="595959"/>
        </w:rPr>
        <w:t>委托代理机构</w:t>
      </w:r>
      <w:r>
        <w:rPr>
          <w:rFonts w:hint="eastAsia" w:ascii="仿宋" w:hAnsi="仿宋" w:eastAsia="仿宋" w:cs="仿宋"/>
          <w:snapToGrid w:val="0"/>
          <w:color w:val="auto"/>
          <w:sz w:val="24"/>
          <w:szCs w:val="24"/>
          <w:highlight w:val="none"/>
          <w:u w:val="none" w:color="595959"/>
          <w:lang w:eastAsia="zh-CN"/>
        </w:rPr>
        <w:t>）</w:t>
      </w:r>
      <w:r>
        <w:rPr>
          <w:rFonts w:hint="eastAsia" w:ascii="仿宋" w:hAnsi="仿宋" w:eastAsia="仿宋" w:cs="仿宋"/>
          <w:snapToGrid w:val="0"/>
          <w:color w:val="auto"/>
          <w:sz w:val="24"/>
          <w:szCs w:val="24"/>
          <w:highlight w:val="none"/>
          <w:u w:val="none" w:color="595959"/>
        </w:rPr>
        <w:t>项目</w:t>
      </w:r>
      <w:r>
        <w:rPr>
          <w:rFonts w:hint="eastAsia" w:ascii="仿宋" w:hAnsi="仿宋" w:eastAsia="仿宋" w:cs="仿宋"/>
          <w:snapToGrid w:val="0"/>
          <w:color w:val="auto"/>
          <w:sz w:val="24"/>
          <w:szCs w:val="24"/>
          <w:highlight w:val="none"/>
          <w:u w:val="none" w:color="595959"/>
          <w:lang w:eastAsia="zh-CN"/>
        </w:rPr>
        <w:t>（</w:t>
      </w:r>
      <w:r>
        <w:rPr>
          <w:rFonts w:hint="eastAsia" w:ascii="仿宋" w:hAnsi="仿宋" w:eastAsia="仿宋" w:cs="仿宋"/>
          <w:snapToGrid w:val="0"/>
          <w:color w:val="auto"/>
          <w:sz w:val="24"/>
          <w:szCs w:val="24"/>
          <w:highlight w:val="none"/>
          <w:u w:val="single" w:color="auto"/>
          <w:lang w:eastAsia="zh-CN"/>
        </w:rPr>
        <w:t>高速公路交通情况统计调查、路网运行监测与管控辅助服务</w:t>
      </w:r>
      <w:r>
        <w:rPr>
          <w:rFonts w:hint="eastAsia" w:ascii="仿宋" w:hAnsi="仿宋" w:eastAsia="仿宋" w:cs="仿宋"/>
          <w:color w:val="auto"/>
          <w:sz w:val="24"/>
          <w:highlight w:val="none"/>
          <w:u w:val="single"/>
          <w:lang w:eastAsia="zh-CN"/>
        </w:rPr>
        <w:t>）</w:t>
      </w:r>
      <w:r>
        <w:rPr>
          <w:rFonts w:hint="eastAsia" w:ascii="仿宋" w:hAnsi="仿宋" w:eastAsia="仿宋" w:cs="仿宋"/>
          <w:color w:val="auto"/>
          <w:sz w:val="24"/>
          <w:highlight w:val="none"/>
        </w:rPr>
        <w:sym w:font="Wingdings 2" w:char="0052"/>
      </w:r>
      <w:r>
        <w:rPr>
          <w:rFonts w:hint="eastAsia" w:ascii="仿宋" w:hAnsi="仿宋" w:eastAsia="仿宋" w:cs="仿宋"/>
          <w:snapToGrid w:val="0"/>
          <w:color w:val="auto"/>
          <w:sz w:val="24"/>
          <w:szCs w:val="24"/>
          <w:highlight w:val="none"/>
          <w:u w:val="none" w:color="595959"/>
        </w:rPr>
        <w:t>公开招标</w:t>
      </w:r>
      <w:r>
        <w:rPr>
          <w:rFonts w:hint="eastAsia" w:ascii="仿宋" w:hAnsi="仿宋" w:eastAsia="仿宋" w:cs="仿宋"/>
          <w:color w:val="auto"/>
          <w:spacing w:val="-20"/>
          <w:sz w:val="24"/>
          <w:szCs w:val="24"/>
          <w:highlight w:val="none"/>
          <w:u w:val="none" w:color="595959"/>
        </w:rPr>
        <w:t>☐</w:t>
      </w:r>
      <w:r>
        <w:rPr>
          <w:rFonts w:hint="eastAsia" w:ascii="仿宋" w:hAnsi="仿宋" w:eastAsia="仿宋" w:cs="仿宋"/>
          <w:snapToGrid w:val="0"/>
          <w:color w:val="auto"/>
          <w:sz w:val="24"/>
          <w:szCs w:val="24"/>
          <w:highlight w:val="none"/>
          <w:u w:val="none" w:color="595959"/>
        </w:rPr>
        <w:t>竞争性谈判</w:t>
      </w:r>
      <w:r>
        <w:rPr>
          <w:rFonts w:hint="eastAsia" w:ascii="仿宋" w:hAnsi="仿宋" w:eastAsia="仿宋" w:cs="仿宋"/>
          <w:color w:val="auto"/>
          <w:spacing w:val="-20"/>
          <w:sz w:val="24"/>
          <w:szCs w:val="24"/>
          <w:highlight w:val="none"/>
          <w:u w:val="none" w:color="595959"/>
        </w:rPr>
        <w:t>☐</w:t>
      </w:r>
      <w:r>
        <w:rPr>
          <w:rFonts w:hint="eastAsia" w:ascii="仿宋" w:hAnsi="仿宋" w:eastAsia="仿宋" w:cs="仿宋"/>
          <w:snapToGrid w:val="0"/>
          <w:color w:val="auto"/>
          <w:sz w:val="24"/>
          <w:szCs w:val="24"/>
          <w:highlight w:val="none"/>
          <w:u w:val="none" w:color="595959"/>
        </w:rPr>
        <w:t>竞争性磋商</w:t>
      </w:r>
      <w:r>
        <w:rPr>
          <w:rFonts w:hint="eastAsia" w:ascii="仿宋" w:hAnsi="仿宋" w:eastAsia="仿宋" w:cs="仿宋"/>
          <w:color w:val="auto"/>
          <w:spacing w:val="-20"/>
          <w:sz w:val="24"/>
          <w:szCs w:val="24"/>
          <w:highlight w:val="none"/>
          <w:u w:val="none" w:color="595959"/>
        </w:rPr>
        <w:t>☐</w:t>
      </w:r>
      <w:r>
        <w:rPr>
          <w:rFonts w:hint="eastAsia" w:ascii="仿宋" w:hAnsi="仿宋" w:eastAsia="仿宋" w:cs="仿宋"/>
          <w:snapToGrid w:val="0"/>
          <w:color w:val="auto"/>
          <w:sz w:val="24"/>
          <w:szCs w:val="24"/>
          <w:highlight w:val="none"/>
          <w:u w:val="none" w:color="595959"/>
        </w:rPr>
        <w:t>单一来源谈判</w:t>
      </w:r>
      <w:r>
        <w:rPr>
          <w:rFonts w:hint="eastAsia" w:ascii="仿宋" w:hAnsi="仿宋" w:eastAsia="仿宋" w:cs="仿宋"/>
          <w:color w:val="auto"/>
          <w:spacing w:val="-20"/>
          <w:sz w:val="24"/>
          <w:szCs w:val="24"/>
          <w:highlight w:val="none"/>
          <w:u w:val="none" w:color="595959"/>
        </w:rPr>
        <w:t>☐</w:t>
      </w:r>
      <w:r>
        <w:rPr>
          <w:rFonts w:hint="eastAsia" w:ascii="仿宋" w:hAnsi="仿宋" w:eastAsia="仿宋" w:cs="仿宋"/>
          <w:snapToGrid w:val="0"/>
          <w:color w:val="auto"/>
          <w:sz w:val="24"/>
          <w:szCs w:val="24"/>
          <w:highlight w:val="none"/>
          <w:u w:val="none" w:color="595959"/>
        </w:rPr>
        <w:t>询价采购的结果，签署本合同。</w:t>
      </w:r>
    </w:p>
    <w:p w14:paraId="5831C74E">
      <w:pPr>
        <w:pStyle w:val="18"/>
        <w:snapToGrid w:val="0"/>
        <w:spacing w:line="380" w:lineRule="exact"/>
        <w:ind w:firstLine="354" w:firstLineChars="147"/>
        <w:rPr>
          <w:rFonts w:hint="eastAsia" w:ascii="仿宋" w:hAnsi="仿宋" w:eastAsia="仿宋" w:cs="仿宋"/>
          <w:b/>
          <w:snapToGrid w:val="0"/>
          <w:color w:val="auto"/>
          <w:sz w:val="24"/>
          <w:szCs w:val="24"/>
          <w:highlight w:val="none"/>
          <w:u w:val="none" w:color="595959"/>
          <w:lang w:eastAsia="zh-CN"/>
        </w:rPr>
      </w:pPr>
      <w:r>
        <w:rPr>
          <w:rFonts w:hint="eastAsia" w:ascii="仿宋" w:hAnsi="仿宋" w:eastAsia="仿宋" w:cs="仿宋"/>
          <w:b/>
          <w:snapToGrid w:val="0"/>
          <w:color w:val="auto"/>
          <w:sz w:val="24"/>
          <w:szCs w:val="24"/>
          <w:highlight w:val="none"/>
          <w:u w:val="none" w:color="595959"/>
        </w:rPr>
        <w:t>一、采购标的</w:t>
      </w:r>
    </w:p>
    <w:p w14:paraId="76299669">
      <w:pPr>
        <w:pStyle w:val="18"/>
        <w:snapToGrid w:val="0"/>
        <w:spacing w:line="380" w:lineRule="exact"/>
        <w:ind w:firstLine="360" w:firstLineChars="150"/>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1.1 服务名称</w:t>
      </w:r>
    </w:p>
    <w:p w14:paraId="41DF5944">
      <w:pPr>
        <w:pStyle w:val="18"/>
        <w:snapToGrid w:val="0"/>
        <w:spacing w:line="380" w:lineRule="exact"/>
        <w:rPr>
          <w:rFonts w:hint="eastAsia" w:ascii="仿宋" w:hAnsi="仿宋" w:eastAsia="仿宋" w:cs="仿宋"/>
          <w:b/>
          <w:bCs/>
          <w:snapToGrid w:val="0"/>
          <w:color w:val="auto"/>
          <w:sz w:val="24"/>
          <w:szCs w:val="24"/>
          <w:highlight w:val="none"/>
          <w:u w:val="single" w:color="auto"/>
          <w:lang w:val="en-US" w:eastAsia="zh-CN"/>
        </w:rPr>
      </w:pPr>
      <w:r>
        <w:rPr>
          <w:rFonts w:hint="eastAsia" w:ascii="仿宋" w:hAnsi="仿宋" w:eastAsia="仿宋" w:cs="仿宋"/>
          <w:b/>
          <w:bCs/>
          <w:snapToGrid w:val="0"/>
          <w:color w:val="auto"/>
          <w:sz w:val="24"/>
          <w:szCs w:val="24"/>
          <w:highlight w:val="none"/>
          <w:u w:val="single" w:color="auto"/>
          <w:lang w:val="en-US" w:eastAsia="zh-CN"/>
        </w:rPr>
        <w:t xml:space="preserve">高速公路交通统计与路网日常监测辅助服务  </w:t>
      </w:r>
    </w:p>
    <w:p w14:paraId="08E7B6B8">
      <w:pPr>
        <w:pStyle w:val="18"/>
        <w:snapToGrid w:val="0"/>
        <w:spacing w:line="380" w:lineRule="exact"/>
        <w:ind w:firstLine="360" w:firstLineChars="150"/>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1.2 服务范围、内容及服务要求</w:t>
      </w:r>
    </w:p>
    <w:p w14:paraId="06C4BCAF">
      <w:pPr>
        <w:pStyle w:val="18"/>
        <w:snapToGrid w:val="0"/>
        <w:spacing w:line="380" w:lineRule="exact"/>
        <w:jc w:val="left"/>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single" w:color="595959"/>
          <w:lang w:val="en-US" w:eastAsia="zh-CN"/>
        </w:rPr>
        <w:t>详见招标文件采购需求</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none" w:color="595959"/>
        </w:rPr>
        <w:t xml:space="preserve"> </w:t>
      </w:r>
    </w:p>
    <w:p w14:paraId="1CBA4DAC">
      <w:pPr>
        <w:pStyle w:val="18"/>
        <w:snapToGrid w:val="0"/>
        <w:spacing w:line="380" w:lineRule="exact"/>
        <w:ind w:firstLine="480"/>
        <w:jc w:val="left"/>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1.3 服务期限按照第</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single" w:color="595959"/>
          <w:lang w:eastAsia="zh-CN"/>
        </w:rPr>
        <w:t>（</w:t>
      </w:r>
      <w:r>
        <w:rPr>
          <w:rFonts w:hint="eastAsia" w:ascii="仿宋" w:hAnsi="仿宋" w:eastAsia="仿宋" w:cs="仿宋"/>
          <w:snapToGrid w:val="0"/>
          <w:color w:val="auto"/>
          <w:sz w:val="24"/>
          <w:szCs w:val="24"/>
          <w:highlight w:val="none"/>
          <w:u w:val="single" w:color="595959"/>
          <w:lang w:val="en-US" w:eastAsia="zh-CN"/>
        </w:rPr>
        <w:t>2</w:t>
      </w:r>
      <w:r>
        <w:rPr>
          <w:rFonts w:hint="eastAsia" w:ascii="仿宋" w:hAnsi="仿宋" w:eastAsia="仿宋" w:cs="仿宋"/>
          <w:snapToGrid w:val="0"/>
          <w:color w:val="auto"/>
          <w:sz w:val="24"/>
          <w:szCs w:val="24"/>
          <w:highlight w:val="none"/>
          <w:u w:val="single" w:color="595959"/>
          <w:lang w:eastAsia="zh-CN"/>
        </w:rPr>
        <w:t>）</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none" w:color="595959"/>
        </w:rPr>
        <w:t>种方式明确</w:t>
      </w:r>
    </w:p>
    <w:p w14:paraId="6AAFEA41">
      <w:pPr>
        <w:pStyle w:val="18"/>
        <w:snapToGrid w:val="0"/>
        <w:spacing w:line="380" w:lineRule="exact"/>
        <w:ind w:firstLine="480"/>
        <w:jc w:val="left"/>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（1）本合同服务期限自</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none" w:color="595959"/>
        </w:rPr>
        <w:t>年</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none" w:color="595959"/>
        </w:rPr>
        <w:t>月</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none" w:color="595959"/>
        </w:rPr>
        <w:t>日起，至</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none" w:color="595959"/>
        </w:rPr>
        <w:t>年</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none" w:color="595959"/>
        </w:rPr>
        <w:t>月</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none" w:color="595959"/>
        </w:rPr>
        <w:t>日止。</w:t>
      </w:r>
    </w:p>
    <w:p w14:paraId="7CC0C039">
      <w:pPr>
        <w:pStyle w:val="18"/>
        <w:snapToGrid w:val="0"/>
        <w:spacing w:line="380" w:lineRule="exact"/>
        <w:ind w:firstLine="480"/>
        <w:jc w:val="left"/>
        <w:rPr>
          <w:rFonts w:hint="eastAsia" w:ascii="仿宋" w:hAnsi="仿宋" w:eastAsia="仿宋" w:cs="仿宋"/>
          <w:color w:val="auto"/>
          <w:sz w:val="30"/>
          <w:szCs w:val="30"/>
          <w:highlight w:val="none"/>
        </w:rPr>
      </w:pPr>
      <w:r>
        <w:rPr>
          <w:rFonts w:hint="eastAsia" w:ascii="仿宋" w:hAnsi="仿宋" w:eastAsia="仿宋" w:cs="仿宋"/>
          <w:snapToGrid w:val="0"/>
          <w:color w:val="auto"/>
          <w:sz w:val="24"/>
          <w:szCs w:val="24"/>
          <w:highlight w:val="none"/>
          <w:u w:val="none" w:color="595959"/>
        </w:rPr>
        <w:t xml:space="preserve">（2）本合同服务期限自签订合同之日起，至 </w:t>
      </w:r>
      <w:r>
        <w:rPr>
          <w:rFonts w:hint="eastAsia" w:ascii="仿宋" w:hAnsi="仿宋" w:eastAsia="仿宋" w:cs="仿宋"/>
          <w:snapToGrid w:val="0"/>
          <w:color w:val="auto"/>
          <w:sz w:val="24"/>
          <w:szCs w:val="24"/>
          <w:highlight w:val="none"/>
          <w:u w:val="single" w:color="auto"/>
          <w:lang w:val="en-US" w:eastAsia="zh-CN"/>
        </w:rPr>
        <w:t xml:space="preserve">    </w:t>
      </w:r>
      <w:r>
        <w:rPr>
          <w:rFonts w:hint="eastAsia" w:ascii="仿宋" w:hAnsi="仿宋" w:eastAsia="仿宋" w:cs="仿宋"/>
          <w:snapToGrid w:val="0"/>
          <w:color w:val="auto"/>
          <w:sz w:val="24"/>
          <w:szCs w:val="24"/>
          <w:highlight w:val="none"/>
          <w:u w:val="none" w:color="595959"/>
        </w:rPr>
        <w:t xml:space="preserve"> 年</w:t>
      </w:r>
      <w:r>
        <w:rPr>
          <w:rFonts w:hint="eastAsia" w:ascii="仿宋" w:hAnsi="仿宋" w:eastAsia="仿宋" w:cs="仿宋"/>
          <w:snapToGrid w:val="0"/>
          <w:color w:val="auto"/>
          <w:sz w:val="24"/>
          <w:szCs w:val="24"/>
          <w:highlight w:val="none"/>
          <w:u w:val="single" w:color="auto"/>
        </w:rPr>
        <w:t xml:space="preserve"> </w:t>
      </w:r>
      <w:r>
        <w:rPr>
          <w:rFonts w:hint="eastAsia" w:ascii="仿宋" w:hAnsi="仿宋" w:eastAsia="仿宋" w:cs="仿宋"/>
          <w:snapToGrid w:val="0"/>
          <w:color w:val="auto"/>
          <w:sz w:val="24"/>
          <w:szCs w:val="24"/>
          <w:highlight w:val="none"/>
          <w:u w:val="single" w:color="auto"/>
          <w:lang w:val="en-US" w:eastAsia="zh-CN"/>
        </w:rPr>
        <w:t xml:space="preserve"> </w:t>
      </w:r>
      <w:r>
        <w:rPr>
          <w:rFonts w:hint="eastAsia" w:ascii="仿宋" w:hAnsi="仿宋" w:eastAsia="仿宋" w:cs="仿宋"/>
          <w:snapToGrid w:val="0"/>
          <w:color w:val="auto"/>
          <w:sz w:val="24"/>
          <w:szCs w:val="24"/>
          <w:highlight w:val="none"/>
          <w:u w:val="single" w:color="auto"/>
        </w:rPr>
        <w:t xml:space="preserve"> </w:t>
      </w:r>
      <w:r>
        <w:rPr>
          <w:rFonts w:hint="eastAsia" w:ascii="仿宋" w:hAnsi="仿宋" w:eastAsia="仿宋" w:cs="仿宋"/>
          <w:snapToGrid w:val="0"/>
          <w:color w:val="auto"/>
          <w:sz w:val="24"/>
          <w:szCs w:val="24"/>
          <w:highlight w:val="none"/>
          <w:u w:val="none" w:color="595959"/>
        </w:rPr>
        <w:t>月</w:t>
      </w:r>
      <w:r>
        <w:rPr>
          <w:rFonts w:hint="eastAsia" w:ascii="仿宋" w:hAnsi="仿宋" w:eastAsia="仿宋" w:cs="仿宋"/>
          <w:snapToGrid w:val="0"/>
          <w:color w:val="auto"/>
          <w:sz w:val="24"/>
          <w:szCs w:val="24"/>
          <w:highlight w:val="none"/>
          <w:u w:val="single" w:color="auto"/>
        </w:rPr>
        <w:t xml:space="preserve"> </w:t>
      </w:r>
      <w:r>
        <w:rPr>
          <w:rFonts w:hint="eastAsia" w:ascii="仿宋" w:hAnsi="仿宋" w:eastAsia="仿宋" w:cs="仿宋"/>
          <w:snapToGrid w:val="0"/>
          <w:color w:val="auto"/>
          <w:sz w:val="24"/>
          <w:szCs w:val="24"/>
          <w:highlight w:val="none"/>
          <w:u w:val="single" w:color="auto"/>
          <w:lang w:val="en-US" w:eastAsia="zh-CN"/>
        </w:rPr>
        <w:t xml:space="preserve">  </w:t>
      </w:r>
      <w:r>
        <w:rPr>
          <w:rFonts w:hint="eastAsia" w:ascii="仿宋" w:hAnsi="仿宋" w:eastAsia="仿宋" w:cs="仿宋"/>
          <w:snapToGrid w:val="0"/>
          <w:color w:val="auto"/>
          <w:sz w:val="24"/>
          <w:szCs w:val="24"/>
          <w:highlight w:val="none"/>
          <w:u w:val="single" w:color="auto"/>
        </w:rPr>
        <w:t xml:space="preserve"> </w:t>
      </w:r>
      <w:r>
        <w:rPr>
          <w:rFonts w:hint="eastAsia" w:ascii="仿宋" w:hAnsi="仿宋" w:eastAsia="仿宋" w:cs="仿宋"/>
          <w:snapToGrid w:val="0"/>
          <w:color w:val="auto"/>
          <w:sz w:val="24"/>
          <w:szCs w:val="24"/>
          <w:highlight w:val="none"/>
          <w:u w:val="none" w:color="595959"/>
        </w:rPr>
        <w:t>日止。</w:t>
      </w:r>
    </w:p>
    <w:p w14:paraId="7A52B248">
      <w:pPr>
        <w:pStyle w:val="18"/>
        <w:snapToGrid w:val="0"/>
        <w:spacing w:line="380" w:lineRule="exact"/>
        <w:ind w:firstLine="480"/>
        <w:jc w:val="left"/>
        <w:rPr>
          <w:rFonts w:hint="eastAsia" w:ascii="仿宋" w:hAnsi="仿宋" w:eastAsia="仿宋" w:cs="仿宋"/>
          <w:snapToGrid w:val="0"/>
          <w:color w:val="auto"/>
          <w:sz w:val="24"/>
          <w:szCs w:val="24"/>
          <w:highlight w:val="none"/>
          <w:u w:val="single" w:color="595959"/>
        </w:rPr>
      </w:pPr>
      <w:r>
        <w:rPr>
          <w:rFonts w:hint="eastAsia" w:ascii="仿宋" w:hAnsi="仿宋" w:eastAsia="仿宋" w:cs="仿宋"/>
          <w:snapToGrid w:val="0"/>
          <w:color w:val="auto"/>
          <w:sz w:val="24"/>
          <w:szCs w:val="24"/>
          <w:highlight w:val="none"/>
          <w:u w:val="none" w:color="595959"/>
        </w:rPr>
        <w:t>（3）本合同服务期限自</w:t>
      </w:r>
      <w:r>
        <w:rPr>
          <w:rFonts w:hint="eastAsia" w:ascii="仿宋" w:hAnsi="仿宋" w:eastAsia="仿宋" w:cs="仿宋"/>
          <w:snapToGrid w:val="0"/>
          <w:color w:val="auto"/>
          <w:sz w:val="24"/>
          <w:szCs w:val="24"/>
          <w:highlight w:val="none"/>
          <w:u w:val="single"/>
        </w:rPr>
        <w:t xml:space="preserve">     </w:t>
      </w:r>
      <w:r>
        <w:rPr>
          <w:rFonts w:hint="eastAsia" w:ascii="仿宋" w:hAnsi="仿宋" w:eastAsia="仿宋" w:cs="仿宋"/>
          <w:snapToGrid w:val="0"/>
          <w:color w:val="auto"/>
          <w:sz w:val="24"/>
          <w:szCs w:val="24"/>
          <w:highlight w:val="none"/>
          <w:u w:val="none" w:color="595959"/>
        </w:rPr>
        <w:t>年</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none" w:color="595959"/>
        </w:rPr>
        <w:t>月</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none" w:color="595959"/>
        </w:rPr>
        <w:t>日起，至</w:t>
      </w:r>
      <w:r>
        <w:rPr>
          <w:rFonts w:hint="eastAsia" w:ascii="仿宋" w:hAnsi="仿宋" w:eastAsia="仿宋" w:cs="仿宋"/>
          <w:snapToGrid w:val="0"/>
          <w:color w:val="auto"/>
          <w:sz w:val="24"/>
          <w:szCs w:val="24"/>
          <w:highlight w:val="none"/>
          <w:u w:val="single"/>
        </w:rPr>
        <w:t xml:space="preserve">              </w:t>
      </w:r>
      <w:r>
        <w:rPr>
          <w:rFonts w:hint="eastAsia" w:ascii="仿宋" w:hAnsi="仿宋" w:eastAsia="仿宋" w:cs="仿宋"/>
          <w:snapToGrid w:val="0"/>
          <w:color w:val="auto"/>
          <w:sz w:val="24"/>
          <w:szCs w:val="24"/>
          <w:highlight w:val="none"/>
          <w:u w:val="none" w:color="595959"/>
        </w:rPr>
        <w:t>止。</w:t>
      </w:r>
    </w:p>
    <w:p w14:paraId="63570A8D">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1.4服务地点（域）</w:t>
      </w:r>
    </w:p>
    <w:p w14:paraId="54D8E404">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本合同约定的服务地点（域）：</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single" w:color="595959"/>
          <w:lang w:val="en-US" w:eastAsia="zh-CN"/>
        </w:rPr>
        <w:t>江苏省</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none" w:color="595959"/>
        </w:rPr>
        <w:t xml:space="preserve">。                                                               </w:t>
      </w:r>
    </w:p>
    <w:p w14:paraId="78EE6E82">
      <w:pPr>
        <w:pStyle w:val="18"/>
        <w:snapToGrid w:val="0"/>
        <w:spacing w:line="380" w:lineRule="exact"/>
        <w:ind w:firstLine="354" w:firstLineChars="147"/>
        <w:rPr>
          <w:rFonts w:hint="eastAsia" w:ascii="仿宋" w:hAnsi="仿宋" w:eastAsia="仿宋" w:cs="仿宋"/>
          <w:b/>
          <w:snapToGrid w:val="0"/>
          <w:color w:val="auto"/>
          <w:sz w:val="24"/>
          <w:szCs w:val="24"/>
          <w:highlight w:val="none"/>
          <w:u w:val="none" w:color="595959"/>
        </w:rPr>
      </w:pPr>
      <w:r>
        <w:rPr>
          <w:rFonts w:hint="eastAsia" w:ascii="仿宋" w:hAnsi="仿宋" w:eastAsia="仿宋" w:cs="仿宋"/>
          <w:b/>
          <w:snapToGrid w:val="0"/>
          <w:color w:val="auto"/>
          <w:sz w:val="24"/>
          <w:szCs w:val="24"/>
          <w:highlight w:val="none"/>
          <w:u w:val="none" w:color="595959"/>
        </w:rPr>
        <w:t>二、合同金额</w:t>
      </w:r>
    </w:p>
    <w:p w14:paraId="229719D7">
      <w:pPr>
        <w:pStyle w:val="18"/>
        <w:snapToGrid w:val="0"/>
        <w:spacing w:line="380" w:lineRule="exact"/>
        <w:ind w:firstLine="352" w:firstLineChars="147"/>
        <w:rPr>
          <w:rFonts w:hint="eastAsia" w:ascii="仿宋" w:hAnsi="仿宋" w:eastAsia="仿宋" w:cs="仿宋"/>
          <w:snapToGrid w:val="0"/>
          <w:color w:val="auto"/>
          <w:sz w:val="24"/>
          <w:szCs w:val="24"/>
          <w:highlight w:val="none"/>
          <w:u w:val="single" w:color="595959"/>
        </w:rPr>
      </w:pPr>
      <w:r>
        <w:rPr>
          <w:rFonts w:hint="eastAsia" w:ascii="仿宋" w:hAnsi="仿宋" w:eastAsia="仿宋" w:cs="仿宋"/>
          <w:snapToGrid w:val="0"/>
          <w:color w:val="auto"/>
          <w:sz w:val="24"/>
          <w:szCs w:val="24"/>
          <w:highlight w:val="none"/>
          <w:u w:val="none" w:color="595959"/>
        </w:rPr>
        <w:t>2.1本合同金额按照第</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single" w:color="595959"/>
          <w:lang w:eastAsia="zh-CN"/>
        </w:rPr>
        <w:t>（</w:t>
      </w:r>
      <w:r>
        <w:rPr>
          <w:rFonts w:hint="eastAsia" w:ascii="仿宋" w:hAnsi="仿宋" w:eastAsia="仿宋" w:cs="仿宋"/>
          <w:snapToGrid w:val="0"/>
          <w:color w:val="auto"/>
          <w:sz w:val="24"/>
          <w:szCs w:val="24"/>
          <w:highlight w:val="none"/>
          <w:u w:val="single" w:color="595959"/>
          <w:lang w:val="en-US" w:eastAsia="zh-CN"/>
        </w:rPr>
        <w:t>1</w:t>
      </w:r>
      <w:r>
        <w:rPr>
          <w:rFonts w:hint="eastAsia" w:ascii="仿宋" w:hAnsi="仿宋" w:eastAsia="仿宋" w:cs="仿宋"/>
          <w:snapToGrid w:val="0"/>
          <w:color w:val="auto"/>
          <w:sz w:val="24"/>
          <w:szCs w:val="24"/>
          <w:highlight w:val="none"/>
          <w:u w:val="single" w:color="595959"/>
          <w:lang w:eastAsia="zh-CN"/>
        </w:rPr>
        <w:t>）</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none" w:color="595959"/>
        </w:rPr>
        <w:t>种方式明确：</w:t>
      </w:r>
    </w:p>
    <w:p w14:paraId="14524DE2">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(1)本合同为固定总价合同，合同金额（含税）为人民币</w:t>
      </w:r>
      <w:r>
        <w:rPr>
          <w:rFonts w:hint="eastAsia" w:ascii="仿宋" w:hAnsi="仿宋" w:eastAsia="仿宋" w:cs="仿宋"/>
          <w:snapToGrid w:val="0"/>
          <w:color w:val="auto"/>
          <w:sz w:val="24"/>
          <w:szCs w:val="24"/>
          <w:highlight w:val="none"/>
          <w:u w:val="single"/>
        </w:rPr>
        <w:t xml:space="preserve">         </w:t>
      </w:r>
      <w:r>
        <w:rPr>
          <w:rFonts w:hint="eastAsia" w:ascii="仿宋" w:hAnsi="仿宋" w:eastAsia="仿宋" w:cs="仿宋"/>
          <w:snapToGrid w:val="0"/>
          <w:color w:val="auto"/>
          <w:sz w:val="24"/>
          <w:szCs w:val="24"/>
          <w:highlight w:val="none"/>
          <w:u w:val="none" w:color="595959"/>
        </w:rPr>
        <w:t>整，（￥</w:t>
      </w:r>
      <w:r>
        <w:rPr>
          <w:rFonts w:hint="eastAsia" w:ascii="仿宋" w:hAnsi="仿宋" w:eastAsia="仿宋" w:cs="仿宋"/>
          <w:snapToGrid w:val="0"/>
          <w:color w:val="auto"/>
          <w:sz w:val="24"/>
          <w:szCs w:val="24"/>
          <w:highlight w:val="none"/>
          <w:u w:val="single"/>
        </w:rPr>
        <w:t xml:space="preserve">          </w:t>
      </w:r>
      <w:r>
        <w:rPr>
          <w:rFonts w:hint="eastAsia" w:ascii="仿宋" w:hAnsi="仿宋" w:eastAsia="仿宋" w:cs="仿宋"/>
          <w:snapToGrid w:val="0"/>
          <w:color w:val="auto"/>
          <w:sz w:val="24"/>
          <w:szCs w:val="24"/>
          <w:highlight w:val="none"/>
          <w:u w:val="none" w:color="595959"/>
        </w:rPr>
        <w:t>整）。</w:t>
      </w:r>
    </w:p>
    <w:p w14:paraId="55C12DC8">
      <w:pPr>
        <w:pStyle w:val="18"/>
        <w:snapToGrid w:val="0"/>
        <w:spacing w:line="380" w:lineRule="exact"/>
        <w:ind w:firstLine="352" w:firstLineChars="147"/>
        <w:rPr>
          <w:rFonts w:hint="eastAsia" w:ascii="仿宋" w:hAnsi="仿宋" w:eastAsia="仿宋" w:cs="仿宋"/>
          <w:snapToGrid w:val="0"/>
          <w:color w:val="auto"/>
          <w:sz w:val="24"/>
          <w:szCs w:val="24"/>
          <w:highlight w:val="none"/>
          <w:u w:val="single" w:color="595959"/>
        </w:rPr>
      </w:pPr>
      <w:r>
        <w:rPr>
          <w:rFonts w:hint="eastAsia" w:ascii="仿宋" w:hAnsi="仿宋" w:eastAsia="仿宋" w:cs="仿宋"/>
          <w:snapToGrid w:val="0"/>
          <w:color w:val="auto"/>
          <w:sz w:val="24"/>
          <w:szCs w:val="24"/>
          <w:highlight w:val="none"/>
          <w:u w:val="none" w:color="595959"/>
        </w:rPr>
        <w:t>(2)本合同为固定单价合同，本项目预算金额为人民币</w:t>
      </w:r>
      <w:r>
        <w:rPr>
          <w:rFonts w:hint="eastAsia" w:ascii="仿宋" w:hAnsi="仿宋" w:eastAsia="仿宋" w:cs="仿宋"/>
          <w:snapToGrid w:val="0"/>
          <w:color w:val="auto"/>
          <w:sz w:val="24"/>
          <w:szCs w:val="24"/>
          <w:highlight w:val="none"/>
          <w:u w:val="single"/>
        </w:rPr>
        <w:t xml:space="preserve">          </w:t>
      </w:r>
      <w:r>
        <w:rPr>
          <w:rFonts w:hint="eastAsia" w:ascii="仿宋" w:hAnsi="仿宋" w:eastAsia="仿宋" w:cs="仿宋"/>
          <w:snapToGrid w:val="0"/>
          <w:color w:val="auto"/>
          <w:sz w:val="24"/>
          <w:szCs w:val="24"/>
          <w:highlight w:val="none"/>
          <w:u w:val="none" w:color="595959"/>
        </w:rPr>
        <w:t>整（￥</w:t>
      </w:r>
      <w:r>
        <w:rPr>
          <w:rFonts w:hint="eastAsia" w:ascii="仿宋" w:hAnsi="仿宋" w:eastAsia="仿宋" w:cs="仿宋"/>
          <w:snapToGrid w:val="0"/>
          <w:color w:val="auto"/>
          <w:sz w:val="24"/>
          <w:szCs w:val="24"/>
          <w:highlight w:val="none"/>
          <w:u w:val="single"/>
        </w:rPr>
        <w:t xml:space="preserve">          </w:t>
      </w:r>
      <w:r>
        <w:rPr>
          <w:rFonts w:hint="eastAsia" w:ascii="仿宋" w:hAnsi="仿宋" w:eastAsia="仿宋" w:cs="仿宋"/>
          <w:snapToGrid w:val="0"/>
          <w:color w:val="auto"/>
          <w:sz w:val="24"/>
          <w:szCs w:val="24"/>
          <w:highlight w:val="none"/>
          <w:u w:val="none" w:color="595959"/>
        </w:rPr>
        <w:t>整），合同实施过程中单价不予调整，结算的服务费用以最终实际发生的服务数量为准。服务单价确定方式：</w:t>
      </w:r>
      <w:r>
        <w:rPr>
          <w:rFonts w:hint="eastAsia" w:ascii="仿宋" w:hAnsi="仿宋" w:eastAsia="仿宋" w:cs="仿宋"/>
          <w:snapToGrid w:val="0"/>
          <w:color w:val="auto"/>
          <w:sz w:val="24"/>
          <w:szCs w:val="24"/>
          <w:highlight w:val="none"/>
          <w:u w:val="single" w:color="595959"/>
        </w:rPr>
        <w:t xml:space="preserve">                                                                </w:t>
      </w:r>
    </w:p>
    <w:p w14:paraId="138574E9">
      <w:pPr>
        <w:pStyle w:val="18"/>
        <w:snapToGrid w:val="0"/>
        <w:spacing w:line="380" w:lineRule="exact"/>
        <w:ind w:firstLine="352" w:firstLineChars="147"/>
        <w:rPr>
          <w:rFonts w:hint="eastAsia" w:ascii="仿宋" w:hAnsi="仿宋" w:eastAsia="仿宋" w:cs="仿宋"/>
          <w:snapToGrid w:val="0"/>
          <w:color w:val="auto"/>
          <w:sz w:val="24"/>
          <w:szCs w:val="24"/>
          <w:highlight w:val="none"/>
          <w:u w:val="single" w:color="595959"/>
        </w:rPr>
      </w:pPr>
      <w:r>
        <w:rPr>
          <w:rFonts w:hint="eastAsia" w:ascii="仿宋" w:hAnsi="仿宋" w:eastAsia="仿宋" w:cs="仿宋"/>
          <w:snapToGrid w:val="0"/>
          <w:color w:val="auto"/>
          <w:sz w:val="24"/>
          <w:szCs w:val="24"/>
          <w:highlight w:val="none"/>
          <w:u w:val="none" w:color="595959"/>
        </w:rPr>
        <w:t>(3)本合同为其他非固定总价合同，本项目预算金额为人民币</w:t>
      </w:r>
      <w:r>
        <w:rPr>
          <w:rFonts w:hint="eastAsia" w:ascii="仿宋" w:hAnsi="仿宋" w:eastAsia="仿宋" w:cs="仿宋"/>
          <w:snapToGrid w:val="0"/>
          <w:color w:val="auto"/>
          <w:sz w:val="24"/>
          <w:szCs w:val="24"/>
          <w:highlight w:val="none"/>
          <w:u w:val="single"/>
        </w:rPr>
        <w:t xml:space="preserve">          </w:t>
      </w:r>
      <w:r>
        <w:rPr>
          <w:rFonts w:hint="eastAsia" w:ascii="仿宋" w:hAnsi="仿宋" w:eastAsia="仿宋" w:cs="仿宋"/>
          <w:snapToGrid w:val="0"/>
          <w:color w:val="auto"/>
          <w:sz w:val="24"/>
          <w:szCs w:val="24"/>
          <w:highlight w:val="none"/>
          <w:u w:val="none" w:color="595959"/>
        </w:rPr>
        <w:t>整（￥</w:t>
      </w:r>
      <w:r>
        <w:rPr>
          <w:rFonts w:hint="eastAsia" w:ascii="仿宋" w:hAnsi="仿宋" w:eastAsia="仿宋" w:cs="仿宋"/>
          <w:snapToGrid w:val="0"/>
          <w:color w:val="auto"/>
          <w:sz w:val="24"/>
          <w:szCs w:val="24"/>
          <w:highlight w:val="none"/>
          <w:u w:val="single"/>
        </w:rPr>
        <w:t xml:space="preserve">          </w:t>
      </w:r>
      <w:r>
        <w:rPr>
          <w:rFonts w:hint="eastAsia" w:ascii="仿宋" w:hAnsi="仿宋" w:eastAsia="仿宋" w:cs="仿宋"/>
          <w:snapToGrid w:val="0"/>
          <w:color w:val="auto"/>
          <w:sz w:val="24"/>
          <w:szCs w:val="24"/>
          <w:highlight w:val="none"/>
          <w:u w:val="none" w:color="595959"/>
        </w:rPr>
        <w:t>整），服务费用计算方式</w:t>
      </w:r>
      <w:r>
        <w:rPr>
          <w:rFonts w:hint="eastAsia" w:ascii="仿宋" w:hAnsi="仿宋" w:eastAsia="仿宋" w:cs="仿宋"/>
          <w:snapToGrid w:val="0"/>
          <w:color w:val="auto"/>
          <w:sz w:val="24"/>
          <w:szCs w:val="24"/>
          <w:highlight w:val="none"/>
        </w:rPr>
        <w:t>：</w:t>
      </w:r>
      <w:r>
        <w:rPr>
          <w:rFonts w:hint="eastAsia" w:ascii="仿宋" w:hAnsi="仿宋" w:eastAsia="仿宋" w:cs="仿宋"/>
          <w:snapToGrid w:val="0"/>
          <w:color w:val="auto"/>
          <w:sz w:val="24"/>
          <w:szCs w:val="24"/>
          <w:highlight w:val="none"/>
          <w:u w:val="single" w:color="595959"/>
        </w:rPr>
        <w:t xml:space="preserve">                                         </w:t>
      </w:r>
    </w:p>
    <w:p w14:paraId="2C184690">
      <w:pPr>
        <w:pStyle w:val="18"/>
        <w:snapToGrid w:val="0"/>
        <w:spacing w:line="380" w:lineRule="exact"/>
        <w:jc w:val="left"/>
        <w:rPr>
          <w:rFonts w:hint="eastAsia" w:ascii="仿宋" w:hAnsi="仿宋" w:eastAsia="仿宋" w:cs="仿宋"/>
          <w:snapToGrid w:val="0"/>
          <w:color w:val="auto"/>
          <w:sz w:val="24"/>
          <w:szCs w:val="24"/>
          <w:highlight w:val="none"/>
          <w:u w:val="single" w:color="595959"/>
        </w:rPr>
      </w:pPr>
      <w:r>
        <w:rPr>
          <w:rFonts w:hint="eastAsia" w:ascii="仿宋" w:hAnsi="仿宋" w:eastAsia="仿宋" w:cs="仿宋"/>
          <w:snapToGrid w:val="0"/>
          <w:color w:val="auto"/>
          <w:sz w:val="24"/>
          <w:szCs w:val="24"/>
          <w:highlight w:val="none"/>
          <w:u w:val="single" w:color="595959"/>
        </w:rPr>
        <w:t xml:space="preserve">                                                                         </w:t>
      </w:r>
    </w:p>
    <w:p w14:paraId="02C26BC8">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本合同价款包含所有乙方提供合同约定相关服务的报酬及乙方提供合同中相关服务所支出的必要费用，甲方在上述合同价款之外不再向乙方支付其他任何费用。</w:t>
      </w:r>
    </w:p>
    <w:p w14:paraId="616F2680">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2.2关于合同金额计算的补充约定事项：</w:t>
      </w:r>
      <w:r>
        <w:rPr>
          <w:rFonts w:hint="eastAsia" w:ascii="仿宋" w:hAnsi="仿宋" w:eastAsia="仿宋" w:cs="仿宋"/>
          <w:snapToGrid w:val="0"/>
          <w:color w:val="auto"/>
          <w:sz w:val="24"/>
          <w:szCs w:val="24"/>
          <w:highlight w:val="none"/>
          <w:u w:val="single" w:color="595959"/>
        </w:rPr>
        <w:t xml:space="preserve">                                    </w:t>
      </w:r>
    </w:p>
    <w:p w14:paraId="585BEFEA">
      <w:pPr>
        <w:pStyle w:val="18"/>
        <w:snapToGrid w:val="0"/>
        <w:spacing w:line="380" w:lineRule="exact"/>
        <w:ind w:firstLine="354" w:firstLineChars="147"/>
        <w:rPr>
          <w:rFonts w:hint="eastAsia" w:ascii="仿宋" w:hAnsi="仿宋" w:eastAsia="仿宋" w:cs="仿宋"/>
          <w:b/>
          <w:snapToGrid w:val="0"/>
          <w:color w:val="auto"/>
          <w:sz w:val="24"/>
          <w:szCs w:val="24"/>
          <w:highlight w:val="none"/>
          <w:u w:val="none" w:color="595959"/>
        </w:rPr>
      </w:pPr>
      <w:r>
        <w:rPr>
          <w:rFonts w:hint="eastAsia" w:ascii="仿宋" w:hAnsi="仿宋" w:eastAsia="仿宋" w:cs="仿宋"/>
          <w:b/>
          <w:snapToGrid w:val="0"/>
          <w:color w:val="auto"/>
          <w:sz w:val="24"/>
          <w:szCs w:val="24"/>
          <w:highlight w:val="none"/>
          <w:u w:val="none" w:color="595959"/>
        </w:rPr>
        <w:t>三、合同履行</w:t>
      </w:r>
    </w:p>
    <w:p w14:paraId="20DDA7B1">
      <w:pPr>
        <w:pStyle w:val="18"/>
        <w:snapToGrid w:val="0"/>
        <w:spacing w:line="380" w:lineRule="exact"/>
        <w:ind w:firstLine="352" w:firstLineChars="147"/>
        <w:rPr>
          <w:rFonts w:hint="eastAsia" w:ascii="仿宋" w:hAnsi="仿宋" w:eastAsia="仿宋" w:cs="仿宋"/>
          <w:b/>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3.1本合同范围内服务的提供参照本项目采购文件以及乙方响应文件承诺的具体要求履行，甲乙双方通过补充条款进行特殊约定的从其约定。</w:t>
      </w:r>
    </w:p>
    <w:p w14:paraId="040900BE">
      <w:pPr>
        <w:pStyle w:val="18"/>
        <w:snapToGrid w:val="0"/>
        <w:spacing w:line="380" w:lineRule="exact"/>
        <w:ind w:firstLine="352" w:firstLineChars="147"/>
        <w:rPr>
          <w:rFonts w:hint="eastAsia" w:ascii="仿宋" w:hAnsi="仿宋" w:eastAsia="仿宋" w:cs="仿宋"/>
          <w:snapToGrid w:val="0"/>
          <w:color w:val="auto"/>
          <w:sz w:val="24"/>
          <w:szCs w:val="24"/>
          <w:highlight w:val="none"/>
          <w:u w:val="single" w:color="595959"/>
        </w:rPr>
      </w:pPr>
      <w:r>
        <w:rPr>
          <w:rFonts w:hint="eastAsia" w:ascii="仿宋" w:hAnsi="仿宋" w:eastAsia="仿宋" w:cs="仿宋"/>
          <w:snapToGrid w:val="0"/>
          <w:color w:val="auto"/>
          <w:sz w:val="24"/>
          <w:szCs w:val="24"/>
          <w:highlight w:val="none"/>
          <w:u w:val="none" w:color="595959"/>
        </w:rPr>
        <w:t>3.2补充条款：</w:t>
      </w:r>
      <w:r>
        <w:rPr>
          <w:rFonts w:hint="eastAsia" w:ascii="仿宋" w:hAnsi="仿宋" w:eastAsia="仿宋" w:cs="仿宋"/>
          <w:snapToGrid w:val="0"/>
          <w:color w:val="auto"/>
          <w:sz w:val="24"/>
          <w:szCs w:val="24"/>
          <w:highlight w:val="none"/>
          <w:u w:val="single" w:color="595959"/>
        </w:rPr>
        <w:t xml:space="preserve">                                                  　    </w:t>
      </w:r>
    </w:p>
    <w:p w14:paraId="0129B098">
      <w:pPr>
        <w:pStyle w:val="18"/>
        <w:snapToGrid w:val="0"/>
        <w:spacing w:line="380" w:lineRule="exact"/>
        <w:ind w:firstLine="354" w:firstLineChars="147"/>
        <w:rPr>
          <w:rFonts w:hint="eastAsia" w:ascii="仿宋" w:hAnsi="仿宋" w:eastAsia="仿宋" w:cs="仿宋"/>
          <w:b/>
          <w:snapToGrid w:val="0"/>
          <w:color w:val="auto"/>
          <w:sz w:val="24"/>
          <w:szCs w:val="24"/>
          <w:highlight w:val="none"/>
          <w:u w:val="none" w:color="595959"/>
        </w:rPr>
      </w:pPr>
      <w:r>
        <w:rPr>
          <w:rFonts w:hint="eastAsia" w:ascii="仿宋" w:hAnsi="仿宋" w:eastAsia="仿宋" w:cs="仿宋"/>
          <w:b/>
          <w:snapToGrid w:val="0"/>
          <w:color w:val="auto"/>
          <w:sz w:val="24"/>
          <w:szCs w:val="24"/>
          <w:highlight w:val="none"/>
          <w:u w:val="none" w:color="595959"/>
        </w:rPr>
        <w:t>四、服务成果内容和形式</w:t>
      </w:r>
    </w:p>
    <w:p w14:paraId="79A97027">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4.1本合同应提交的成果内容、完成期限、成果形式及相关要求：</w:t>
      </w:r>
    </w:p>
    <w:p w14:paraId="110367F3">
      <w:pPr>
        <w:spacing w:line="380" w:lineRule="exact"/>
        <w:ind w:firstLine="480" w:firstLineChars="200"/>
        <w:jc w:val="left"/>
        <w:rPr>
          <w:rFonts w:hint="eastAsia" w:ascii="仿宋" w:hAnsi="仿宋" w:eastAsia="仿宋" w:cs="仿宋"/>
          <w:snapToGrid w:val="0"/>
          <w:color w:val="auto"/>
          <w:kern w:val="0"/>
          <w:sz w:val="24"/>
          <w:szCs w:val="24"/>
          <w:highlight w:val="none"/>
          <w:u w:val="single" w:color="auto"/>
          <w:lang w:val="en-US" w:eastAsia="zh-CN"/>
        </w:rPr>
      </w:pPr>
      <w:r>
        <w:rPr>
          <w:rFonts w:hint="eastAsia" w:ascii="仿宋" w:hAnsi="仿宋" w:eastAsia="仿宋" w:cs="仿宋"/>
          <w:snapToGrid w:val="0"/>
          <w:color w:val="auto"/>
          <w:kern w:val="0"/>
          <w:sz w:val="24"/>
          <w:szCs w:val="24"/>
          <w:highlight w:val="none"/>
          <w:u w:val="single" w:color="auto"/>
          <w:lang w:val="en-US" w:eastAsia="zh-CN"/>
        </w:rPr>
        <w:t>（1）形成高速公路交调系统运行、站点布局与数据质量情况评估报告（1份）及日常交调统计资料（12份）、高速公路交通流量专题数据库（7期）；</w:t>
      </w:r>
    </w:p>
    <w:p w14:paraId="2618F8EA">
      <w:pPr>
        <w:spacing w:line="380" w:lineRule="exact"/>
        <w:ind w:firstLine="480" w:firstLineChars="200"/>
        <w:jc w:val="left"/>
        <w:rPr>
          <w:rFonts w:hint="eastAsia" w:ascii="仿宋" w:hAnsi="仿宋" w:eastAsia="仿宋" w:cs="仿宋"/>
          <w:snapToGrid w:val="0"/>
          <w:color w:val="auto"/>
          <w:kern w:val="0"/>
          <w:sz w:val="24"/>
          <w:szCs w:val="24"/>
          <w:highlight w:val="none"/>
          <w:u w:val="single" w:color="auto"/>
          <w:lang w:val="en-US" w:eastAsia="zh-CN"/>
        </w:rPr>
      </w:pPr>
      <w:r>
        <w:rPr>
          <w:rFonts w:hint="eastAsia" w:ascii="仿宋" w:hAnsi="仿宋" w:eastAsia="仿宋" w:cs="仿宋"/>
          <w:snapToGrid w:val="0"/>
          <w:color w:val="auto"/>
          <w:kern w:val="0"/>
          <w:sz w:val="24"/>
          <w:szCs w:val="24"/>
          <w:highlight w:val="none"/>
          <w:u w:val="single" w:color="auto"/>
          <w:lang w:val="en-US" w:eastAsia="zh-CN"/>
        </w:rPr>
        <w:t>（2）形成重大节假日高速公路交通流量预测报告（7份）、高速公路路网保畅工作方案（7份）、高速公路出行服务指南（7份）、路网运行总结材料（7份）；</w:t>
      </w:r>
    </w:p>
    <w:p w14:paraId="2AF84E50">
      <w:pPr>
        <w:pStyle w:val="18"/>
        <w:snapToGrid w:val="0"/>
        <w:spacing w:line="380" w:lineRule="exact"/>
        <w:ind w:firstLine="354" w:firstLineChars="147"/>
        <w:rPr>
          <w:rFonts w:hint="eastAsia" w:ascii="仿宋" w:hAnsi="仿宋" w:eastAsia="仿宋" w:cs="仿宋"/>
          <w:b/>
          <w:snapToGrid w:val="0"/>
          <w:color w:val="auto"/>
          <w:sz w:val="24"/>
          <w:szCs w:val="24"/>
          <w:highlight w:val="none"/>
          <w:u w:val="none" w:color="595959"/>
        </w:rPr>
      </w:pPr>
      <w:r>
        <w:rPr>
          <w:rFonts w:hint="eastAsia" w:ascii="仿宋" w:hAnsi="仿宋" w:eastAsia="仿宋" w:cs="仿宋"/>
          <w:b/>
          <w:snapToGrid w:val="0"/>
          <w:color w:val="auto"/>
          <w:sz w:val="24"/>
          <w:szCs w:val="24"/>
          <w:highlight w:val="none"/>
          <w:u w:val="none" w:color="595959"/>
        </w:rPr>
        <w:t>五、履约验收</w:t>
      </w:r>
    </w:p>
    <w:p w14:paraId="50C38555">
      <w:pPr>
        <w:spacing w:line="380" w:lineRule="exact"/>
        <w:ind w:firstLine="480" w:firstLineChars="200"/>
        <w:jc w:val="left"/>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5.1 本合同履约验收要求为（包括但不限于：履约验收的实施主体、验收时间、验收方式、验收内容和标准）</w:t>
      </w:r>
      <w:r>
        <w:rPr>
          <w:rFonts w:hint="eastAsia" w:ascii="仿宋" w:hAnsi="仿宋" w:eastAsia="仿宋" w:cs="仿宋"/>
          <w:snapToGrid w:val="0"/>
          <w:color w:val="auto"/>
          <w:kern w:val="0"/>
          <w:sz w:val="24"/>
          <w:szCs w:val="24"/>
          <w:highlight w:val="none"/>
          <w:u w:val="single"/>
        </w:rPr>
        <w:t xml:space="preserve">  </w:t>
      </w:r>
      <w:r>
        <w:rPr>
          <w:rFonts w:hint="eastAsia" w:ascii="仿宋" w:hAnsi="仿宋" w:eastAsia="仿宋" w:cs="仿宋"/>
          <w:snapToGrid w:val="0"/>
          <w:color w:val="auto"/>
          <w:kern w:val="0"/>
          <w:sz w:val="24"/>
          <w:szCs w:val="24"/>
          <w:highlight w:val="none"/>
          <w:u w:val="single" w:color="auto"/>
        </w:rPr>
        <w:t>按照《江苏省政府采购履约验收管理办法》开展验收，</w:t>
      </w:r>
      <w:r>
        <w:rPr>
          <w:rFonts w:hint="eastAsia" w:ascii="仿宋" w:hAnsi="仿宋" w:eastAsia="仿宋" w:cs="仿宋"/>
          <w:snapToGrid w:val="0"/>
          <w:color w:val="auto"/>
          <w:kern w:val="0"/>
          <w:sz w:val="24"/>
          <w:szCs w:val="24"/>
          <w:highlight w:val="none"/>
          <w:u w:val="single" w:color="auto"/>
          <w:lang w:val="en-US" w:eastAsia="zh-CN"/>
        </w:rPr>
        <w:t>甲方</w:t>
      </w:r>
      <w:r>
        <w:rPr>
          <w:rFonts w:hint="eastAsia" w:ascii="仿宋" w:hAnsi="仿宋" w:eastAsia="仿宋" w:cs="仿宋"/>
          <w:snapToGrid w:val="0"/>
          <w:color w:val="auto"/>
          <w:kern w:val="0"/>
          <w:sz w:val="24"/>
          <w:szCs w:val="24"/>
          <w:highlight w:val="none"/>
          <w:u w:val="single" w:color="auto"/>
        </w:rPr>
        <w:t>对成果资料完整性、数据准确性、结论科学性、内容合规性进行审核，通过审查即为验收合格</w:t>
      </w:r>
      <w:r>
        <w:rPr>
          <w:rFonts w:hint="eastAsia" w:ascii="仿宋" w:hAnsi="仿宋" w:eastAsia="仿宋" w:cs="仿宋"/>
          <w:snapToGrid w:val="0"/>
          <w:color w:val="auto"/>
          <w:kern w:val="0"/>
          <w:sz w:val="24"/>
          <w:szCs w:val="24"/>
          <w:highlight w:val="none"/>
          <w:u w:val="none" w:color="595959"/>
        </w:rPr>
        <w:t>。</w:t>
      </w:r>
    </w:p>
    <w:p w14:paraId="7784176D">
      <w:pPr>
        <w:spacing w:line="380" w:lineRule="exact"/>
        <w:ind w:firstLine="352" w:firstLineChars="147"/>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5.2 甲方依据以上验收要求对乙方提供的相关服务进行阶段性验收（如有）及总体验收。</w:t>
      </w:r>
    </w:p>
    <w:p w14:paraId="5097DCFF">
      <w:pPr>
        <w:spacing w:line="380" w:lineRule="exact"/>
        <w:ind w:firstLine="352" w:firstLineChars="147"/>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5.3 经验收不合格的，乙方应当按照甲方要求在指定的合理期限内进行整改和完善，直至符合验收相关标准。逾期不予整改或整改后仍不能符合相关要求，或导致合同目的无法实现，甲方有权依据法律程序解除合同，并追究乙方违约责任。</w:t>
      </w:r>
    </w:p>
    <w:p w14:paraId="3ACBFFB7">
      <w:pPr>
        <w:spacing w:line="380" w:lineRule="exact"/>
        <w:ind w:firstLine="354" w:firstLineChars="147"/>
        <w:rPr>
          <w:rFonts w:hint="eastAsia" w:ascii="仿宋" w:hAnsi="仿宋" w:eastAsia="仿宋" w:cs="仿宋"/>
          <w:i/>
          <w:snapToGrid w:val="0"/>
          <w:color w:val="auto"/>
          <w:kern w:val="0"/>
          <w:highlight w:val="none"/>
        </w:rPr>
      </w:pPr>
      <w:r>
        <w:rPr>
          <w:rFonts w:hint="eastAsia" w:ascii="仿宋" w:hAnsi="仿宋" w:eastAsia="仿宋" w:cs="仿宋"/>
          <w:b/>
          <w:snapToGrid w:val="0"/>
          <w:color w:val="auto"/>
          <w:sz w:val="24"/>
          <w:szCs w:val="24"/>
          <w:highlight w:val="none"/>
          <w:u w:val="none" w:color="595959"/>
        </w:rPr>
        <w:t xml:space="preserve">六、款项支付 </w:t>
      </w:r>
    </w:p>
    <w:p w14:paraId="2040E3CE">
      <w:pPr>
        <w:spacing w:line="380" w:lineRule="exact"/>
        <w:ind w:firstLine="352" w:firstLineChars="147"/>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6.1 本合同款项采用以下第</w:t>
      </w: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u w:val="single" w:color="595959"/>
          <w:lang w:eastAsia="zh-CN"/>
        </w:rPr>
        <w:t>（</w:t>
      </w:r>
      <w:r>
        <w:rPr>
          <w:rFonts w:hint="eastAsia" w:ascii="仿宋" w:hAnsi="仿宋" w:eastAsia="仿宋" w:cs="仿宋"/>
          <w:snapToGrid w:val="0"/>
          <w:color w:val="auto"/>
          <w:kern w:val="0"/>
          <w:sz w:val="24"/>
          <w:szCs w:val="24"/>
          <w:highlight w:val="none"/>
          <w:u w:val="single" w:color="595959"/>
          <w:lang w:val="en-US" w:eastAsia="zh-CN"/>
        </w:rPr>
        <w:t>2</w:t>
      </w:r>
      <w:r>
        <w:rPr>
          <w:rFonts w:hint="eastAsia" w:ascii="仿宋" w:hAnsi="仿宋" w:eastAsia="仿宋" w:cs="仿宋"/>
          <w:snapToGrid w:val="0"/>
          <w:color w:val="auto"/>
          <w:kern w:val="0"/>
          <w:sz w:val="24"/>
          <w:szCs w:val="24"/>
          <w:highlight w:val="none"/>
          <w:u w:val="single" w:color="595959"/>
          <w:lang w:eastAsia="zh-CN"/>
        </w:rPr>
        <w:t>）</w:t>
      </w: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rPr>
        <w:t>种方式支付：</w:t>
      </w:r>
    </w:p>
    <w:p w14:paraId="682507BE">
      <w:pPr>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w:t>
      </w:r>
      <w:r>
        <w:rPr>
          <w:rFonts w:hint="eastAsia" w:ascii="仿宋" w:hAnsi="仿宋" w:eastAsia="仿宋" w:cs="仿宋"/>
          <w:snapToGrid w:val="0"/>
          <w:color w:val="auto"/>
          <w:kern w:val="0"/>
          <w:sz w:val="24"/>
          <w:szCs w:val="24"/>
          <w:highlight w:val="none"/>
          <w:u w:val="none" w:color="595959"/>
        </w:rPr>
        <w:t xml:space="preserve"> 本合同款项分三期支付。</w:t>
      </w:r>
      <w:r>
        <w:rPr>
          <w:rFonts w:hint="eastAsia" w:ascii="仿宋" w:hAnsi="仿宋" w:eastAsia="仿宋" w:cs="仿宋"/>
          <w:snapToGrid w:val="0"/>
          <w:color w:val="auto"/>
          <w:sz w:val="24"/>
          <w:szCs w:val="24"/>
          <w:highlight w:val="none"/>
          <w:u w:val="none" w:color="595959"/>
        </w:rPr>
        <w:t>支付条件（时间）及支付金额如下：</w:t>
      </w:r>
    </w:p>
    <w:p w14:paraId="4C4816B0">
      <w:pPr>
        <w:spacing w:line="380" w:lineRule="exact"/>
        <w:ind w:firstLine="352" w:firstLineChars="147"/>
        <w:rPr>
          <w:rFonts w:hint="eastAsia" w:ascii="仿宋" w:hAnsi="仿宋" w:eastAsia="仿宋" w:cs="仿宋"/>
          <w:snapToGrid w:val="0"/>
          <w:color w:val="auto"/>
          <w:kern w:val="0"/>
          <w:sz w:val="24"/>
          <w:szCs w:val="24"/>
          <w:highlight w:val="none"/>
          <w:u w:val="single" w:color="595959"/>
        </w:rPr>
      </w:pPr>
      <w:r>
        <w:rPr>
          <w:rFonts w:hint="eastAsia" w:ascii="仿宋" w:hAnsi="仿宋" w:eastAsia="仿宋" w:cs="仿宋"/>
          <w:snapToGrid w:val="0"/>
          <w:color w:val="auto"/>
          <w:kern w:val="0"/>
          <w:sz w:val="24"/>
          <w:szCs w:val="24"/>
          <w:highlight w:val="none"/>
          <w:u w:val="none" w:color="595959"/>
        </w:rPr>
        <w:t>第一期:合同签订后</w:t>
      </w:r>
      <w:r>
        <w:rPr>
          <w:rFonts w:hint="eastAsia" w:ascii="仿宋" w:hAnsi="仿宋" w:eastAsia="仿宋" w:cs="仿宋"/>
          <w:snapToGrid w:val="0"/>
          <w:color w:val="auto"/>
          <w:kern w:val="0"/>
          <w:sz w:val="24"/>
          <w:szCs w:val="24"/>
          <w:highlight w:val="none"/>
          <w:u w:val="single"/>
        </w:rPr>
        <w:t xml:space="preserve">  </w:t>
      </w:r>
      <w:r>
        <w:rPr>
          <w:rFonts w:hint="eastAsia" w:ascii="仿宋" w:hAnsi="仿宋" w:eastAsia="仿宋" w:cs="仿宋"/>
          <w:snapToGrid w:val="0"/>
          <w:color w:val="auto"/>
          <w:kern w:val="0"/>
          <w:sz w:val="24"/>
          <w:szCs w:val="24"/>
          <w:highlight w:val="none"/>
          <w:u w:val="none" w:color="595959"/>
        </w:rPr>
        <w:t>个工作日内支付首付款，付款比例为合同金额的</w:t>
      </w: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u w:val="none" w:color="595959"/>
        </w:rPr>
        <w:t>%,</w:t>
      </w:r>
      <w:r>
        <w:rPr>
          <w:rFonts w:hint="eastAsia" w:ascii="仿宋" w:hAnsi="仿宋" w:eastAsia="仿宋" w:cs="仿宋"/>
          <w:snapToGrid w:val="0"/>
          <w:color w:val="auto"/>
          <w:kern w:val="0"/>
          <w:sz w:val="24"/>
          <w:szCs w:val="24"/>
          <w:highlight w:val="none"/>
        </w:rPr>
        <w:t>计人民币</w:t>
      </w: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rPr>
        <w:t>整</w:t>
      </w:r>
      <w:r>
        <w:rPr>
          <w:rFonts w:hint="eastAsia" w:ascii="仿宋" w:hAnsi="仿宋" w:eastAsia="仿宋" w:cs="仿宋"/>
          <w:snapToGrid w:val="0"/>
          <w:color w:val="auto"/>
          <w:sz w:val="24"/>
          <w:szCs w:val="24"/>
          <w:highlight w:val="none"/>
          <w:u w:val="none" w:color="595959"/>
        </w:rPr>
        <w:t>（￥</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none" w:color="595959"/>
        </w:rPr>
        <w:t>整）</w:t>
      </w:r>
      <w:r>
        <w:rPr>
          <w:rFonts w:hint="eastAsia" w:ascii="仿宋" w:hAnsi="仿宋" w:eastAsia="仿宋" w:cs="仿宋"/>
          <w:snapToGrid w:val="0"/>
          <w:color w:val="auto"/>
          <w:kern w:val="0"/>
          <w:sz w:val="24"/>
          <w:szCs w:val="24"/>
          <w:highlight w:val="none"/>
        </w:rPr>
        <w:t>。</w:t>
      </w:r>
    </w:p>
    <w:p w14:paraId="1AE842D8">
      <w:pPr>
        <w:spacing w:line="380" w:lineRule="exact"/>
        <w:ind w:firstLine="352" w:firstLineChars="147"/>
        <w:rPr>
          <w:rFonts w:hint="eastAsia" w:ascii="仿宋" w:hAnsi="仿宋" w:eastAsia="仿宋" w:cs="仿宋"/>
          <w:snapToGrid w:val="0"/>
          <w:color w:val="auto"/>
          <w:kern w:val="0"/>
          <w:sz w:val="24"/>
          <w:szCs w:val="24"/>
          <w:highlight w:val="none"/>
          <w:u w:val="single" w:color="595959"/>
        </w:rPr>
      </w:pPr>
      <w:r>
        <w:rPr>
          <w:rFonts w:hint="eastAsia" w:ascii="仿宋" w:hAnsi="仿宋" w:eastAsia="仿宋" w:cs="仿宋"/>
          <w:snapToGrid w:val="0"/>
          <w:color w:val="auto"/>
          <w:kern w:val="0"/>
          <w:sz w:val="24"/>
          <w:szCs w:val="24"/>
          <w:highlight w:val="none"/>
          <w:u w:val="none" w:color="595959"/>
        </w:rPr>
        <w:t>第二期：当</w:t>
      </w: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rPr>
        <w:t>时支付第二期款项，</w:t>
      </w:r>
      <w:r>
        <w:rPr>
          <w:rFonts w:hint="eastAsia" w:ascii="仿宋" w:hAnsi="仿宋" w:eastAsia="仿宋" w:cs="仿宋"/>
          <w:snapToGrid w:val="0"/>
          <w:color w:val="auto"/>
          <w:kern w:val="0"/>
          <w:sz w:val="24"/>
          <w:szCs w:val="24"/>
          <w:highlight w:val="none"/>
          <w:u w:val="none" w:color="595959"/>
        </w:rPr>
        <w:t>付款比例为合同金额的</w:t>
      </w: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u w:val="none" w:color="595959"/>
        </w:rPr>
        <w:t>%,</w:t>
      </w:r>
      <w:r>
        <w:rPr>
          <w:rFonts w:hint="eastAsia" w:ascii="仿宋" w:hAnsi="仿宋" w:eastAsia="仿宋" w:cs="仿宋"/>
          <w:snapToGrid w:val="0"/>
          <w:color w:val="auto"/>
          <w:kern w:val="0"/>
          <w:sz w:val="24"/>
          <w:szCs w:val="24"/>
          <w:highlight w:val="none"/>
        </w:rPr>
        <w:t>计人民币</w:t>
      </w: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rPr>
        <w:t>整</w:t>
      </w:r>
      <w:r>
        <w:rPr>
          <w:rFonts w:hint="eastAsia" w:ascii="仿宋" w:hAnsi="仿宋" w:eastAsia="仿宋" w:cs="仿宋"/>
          <w:snapToGrid w:val="0"/>
          <w:color w:val="auto"/>
          <w:sz w:val="24"/>
          <w:szCs w:val="24"/>
          <w:highlight w:val="none"/>
          <w:u w:val="none" w:color="595959"/>
        </w:rPr>
        <w:t>（￥</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none" w:color="595959"/>
        </w:rPr>
        <w:t>整）</w:t>
      </w:r>
      <w:r>
        <w:rPr>
          <w:rFonts w:hint="eastAsia" w:ascii="仿宋" w:hAnsi="仿宋" w:eastAsia="仿宋" w:cs="仿宋"/>
          <w:snapToGrid w:val="0"/>
          <w:color w:val="auto"/>
          <w:kern w:val="0"/>
          <w:sz w:val="24"/>
          <w:szCs w:val="24"/>
          <w:highlight w:val="none"/>
        </w:rPr>
        <w:t>。</w:t>
      </w:r>
    </w:p>
    <w:p w14:paraId="416EA5BD">
      <w:pPr>
        <w:spacing w:line="380" w:lineRule="exact"/>
        <w:ind w:firstLine="352" w:firstLineChars="147"/>
        <w:rPr>
          <w:rFonts w:hint="eastAsia" w:ascii="仿宋" w:hAnsi="仿宋" w:eastAsia="仿宋" w:cs="仿宋"/>
          <w:snapToGrid w:val="0"/>
          <w:color w:val="auto"/>
          <w:kern w:val="0"/>
          <w:sz w:val="24"/>
          <w:szCs w:val="24"/>
          <w:highlight w:val="none"/>
        </w:rPr>
      </w:pPr>
      <w:r>
        <w:rPr>
          <w:rFonts w:hint="eastAsia" w:ascii="仿宋" w:hAnsi="仿宋" w:eastAsia="仿宋" w:cs="仿宋"/>
          <w:snapToGrid w:val="0"/>
          <w:color w:val="auto"/>
          <w:kern w:val="0"/>
          <w:sz w:val="24"/>
          <w:szCs w:val="24"/>
          <w:highlight w:val="none"/>
          <w:u w:val="none" w:color="595959"/>
        </w:rPr>
        <w:t>第三期：当乙方提供本合同所有服务成果并经甲方验收通过后</w:t>
      </w: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rPr>
        <w:t>工作日内</w:t>
      </w:r>
      <w:r>
        <w:rPr>
          <w:rFonts w:hint="eastAsia" w:ascii="仿宋" w:hAnsi="仿宋" w:eastAsia="仿宋" w:cs="仿宋"/>
          <w:snapToGrid w:val="0"/>
          <w:color w:val="auto"/>
          <w:kern w:val="0"/>
          <w:sz w:val="24"/>
          <w:szCs w:val="24"/>
          <w:highlight w:val="none"/>
          <w:u w:val="none" w:color="595959"/>
        </w:rPr>
        <w:t>，支付剩余款项，</w:t>
      </w:r>
      <w:r>
        <w:rPr>
          <w:rFonts w:hint="eastAsia" w:ascii="仿宋" w:hAnsi="仿宋" w:eastAsia="仿宋" w:cs="仿宋"/>
          <w:snapToGrid w:val="0"/>
          <w:color w:val="auto"/>
          <w:kern w:val="0"/>
          <w:sz w:val="24"/>
          <w:szCs w:val="24"/>
          <w:highlight w:val="none"/>
        </w:rPr>
        <w:t>计人民币</w:t>
      </w: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rPr>
        <w:t>整</w:t>
      </w:r>
      <w:r>
        <w:rPr>
          <w:rFonts w:hint="eastAsia" w:ascii="仿宋" w:hAnsi="仿宋" w:eastAsia="仿宋" w:cs="仿宋"/>
          <w:snapToGrid w:val="0"/>
          <w:color w:val="auto"/>
          <w:sz w:val="24"/>
          <w:szCs w:val="24"/>
          <w:highlight w:val="none"/>
          <w:u w:val="none" w:color="595959"/>
        </w:rPr>
        <w:t>（￥</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none" w:color="595959"/>
        </w:rPr>
        <w:t>整）</w:t>
      </w:r>
      <w:r>
        <w:rPr>
          <w:rFonts w:hint="eastAsia" w:ascii="仿宋" w:hAnsi="仿宋" w:eastAsia="仿宋" w:cs="仿宋"/>
          <w:snapToGrid w:val="0"/>
          <w:color w:val="auto"/>
          <w:kern w:val="0"/>
          <w:sz w:val="24"/>
          <w:szCs w:val="24"/>
          <w:highlight w:val="none"/>
        </w:rPr>
        <w:t>。</w:t>
      </w:r>
    </w:p>
    <w:p w14:paraId="585EA278">
      <w:pPr>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(2)</w:t>
      </w:r>
      <w:r>
        <w:rPr>
          <w:rFonts w:hint="eastAsia" w:ascii="仿宋" w:hAnsi="仿宋" w:eastAsia="仿宋" w:cs="仿宋"/>
          <w:snapToGrid w:val="0"/>
          <w:color w:val="auto"/>
          <w:kern w:val="0"/>
          <w:sz w:val="24"/>
          <w:szCs w:val="24"/>
          <w:highlight w:val="none"/>
        </w:rPr>
        <w:t xml:space="preserve"> </w:t>
      </w:r>
      <w:r>
        <w:rPr>
          <w:rFonts w:hint="eastAsia" w:ascii="仿宋" w:hAnsi="仿宋" w:eastAsia="仿宋" w:cs="仿宋"/>
          <w:snapToGrid w:val="0"/>
          <w:color w:val="auto"/>
          <w:kern w:val="0"/>
          <w:sz w:val="24"/>
          <w:szCs w:val="24"/>
          <w:highlight w:val="none"/>
          <w:u w:val="none" w:color="595959"/>
        </w:rPr>
        <w:t>本合同款项分两期支付。</w:t>
      </w:r>
      <w:r>
        <w:rPr>
          <w:rFonts w:hint="eastAsia" w:ascii="仿宋" w:hAnsi="仿宋" w:eastAsia="仿宋" w:cs="仿宋"/>
          <w:snapToGrid w:val="0"/>
          <w:color w:val="auto"/>
          <w:sz w:val="24"/>
          <w:szCs w:val="24"/>
          <w:highlight w:val="none"/>
          <w:u w:val="none" w:color="595959"/>
        </w:rPr>
        <w:t>支付条件（时间）及支付金额如下：</w:t>
      </w:r>
    </w:p>
    <w:p w14:paraId="01541623">
      <w:pPr>
        <w:spacing w:line="380" w:lineRule="exact"/>
        <w:ind w:firstLine="352" w:firstLineChars="147"/>
        <w:rPr>
          <w:rFonts w:hint="eastAsia" w:ascii="仿宋" w:hAnsi="仿宋" w:eastAsia="仿宋" w:cs="仿宋"/>
          <w:snapToGrid w:val="0"/>
          <w:color w:val="auto"/>
          <w:kern w:val="0"/>
          <w:sz w:val="24"/>
          <w:szCs w:val="24"/>
          <w:highlight w:val="none"/>
        </w:rPr>
      </w:pPr>
      <w:r>
        <w:rPr>
          <w:rFonts w:hint="eastAsia" w:ascii="仿宋" w:hAnsi="仿宋" w:eastAsia="仿宋" w:cs="仿宋"/>
          <w:snapToGrid w:val="0"/>
          <w:color w:val="auto"/>
          <w:kern w:val="0"/>
          <w:sz w:val="24"/>
          <w:szCs w:val="24"/>
          <w:highlight w:val="none"/>
          <w:u w:val="none" w:color="595959"/>
        </w:rPr>
        <w:t>第一期:合同签订后</w:t>
      </w:r>
      <w:r>
        <w:rPr>
          <w:rFonts w:hint="eastAsia" w:ascii="仿宋" w:hAnsi="仿宋" w:eastAsia="仿宋" w:cs="仿宋"/>
          <w:snapToGrid w:val="0"/>
          <w:color w:val="auto"/>
          <w:kern w:val="0"/>
          <w:sz w:val="24"/>
          <w:szCs w:val="24"/>
          <w:highlight w:val="none"/>
          <w:u w:val="single"/>
          <w:lang w:val="en-US" w:eastAsia="zh-CN"/>
        </w:rPr>
        <w:t>30</w:t>
      </w:r>
      <w:r>
        <w:rPr>
          <w:rFonts w:hint="eastAsia" w:ascii="仿宋" w:hAnsi="仿宋" w:eastAsia="仿宋" w:cs="仿宋"/>
          <w:snapToGrid w:val="0"/>
          <w:color w:val="auto"/>
          <w:kern w:val="0"/>
          <w:sz w:val="24"/>
          <w:szCs w:val="24"/>
          <w:highlight w:val="none"/>
          <w:u w:val="none" w:color="595959"/>
        </w:rPr>
        <w:t>个工作日内支付首付款，付款比例为合同金额的</w:t>
      </w: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u w:val="single" w:color="595959"/>
          <w:lang w:val="en-US" w:eastAsia="zh-CN"/>
        </w:rPr>
        <w:t>50</w:t>
      </w: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u w:val="none" w:color="595959"/>
        </w:rPr>
        <w:t>%,</w:t>
      </w:r>
      <w:r>
        <w:rPr>
          <w:rFonts w:hint="eastAsia" w:ascii="仿宋" w:hAnsi="仿宋" w:eastAsia="仿宋" w:cs="仿宋"/>
          <w:snapToGrid w:val="0"/>
          <w:color w:val="auto"/>
          <w:kern w:val="0"/>
          <w:sz w:val="24"/>
          <w:szCs w:val="24"/>
          <w:highlight w:val="none"/>
        </w:rPr>
        <w:t>计人民币</w:t>
      </w: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rPr>
        <w:t>整</w:t>
      </w:r>
      <w:r>
        <w:rPr>
          <w:rFonts w:hint="eastAsia" w:ascii="仿宋" w:hAnsi="仿宋" w:eastAsia="仿宋" w:cs="仿宋"/>
          <w:snapToGrid w:val="0"/>
          <w:color w:val="auto"/>
          <w:sz w:val="24"/>
          <w:szCs w:val="24"/>
          <w:highlight w:val="none"/>
          <w:u w:val="none" w:color="595959"/>
        </w:rPr>
        <w:t>（￥</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none" w:color="595959"/>
        </w:rPr>
        <w:t>整）</w:t>
      </w:r>
      <w:r>
        <w:rPr>
          <w:rFonts w:hint="eastAsia" w:ascii="仿宋" w:hAnsi="仿宋" w:eastAsia="仿宋" w:cs="仿宋"/>
          <w:snapToGrid w:val="0"/>
          <w:color w:val="auto"/>
          <w:kern w:val="0"/>
          <w:sz w:val="24"/>
          <w:szCs w:val="24"/>
          <w:highlight w:val="none"/>
        </w:rPr>
        <w:t>。</w:t>
      </w:r>
    </w:p>
    <w:p w14:paraId="62F1B4DE">
      <w:pPr>
        <w:spacing w:line="380" w:lineRule="exact"/>
        <w:ind w:firstLine="352" w:firstLineChars="147"/>
        <w:rPr>
          <w:rFonts w:hint="eastAsia" w:ascii="仿宋" w:hAnsi="仿宋" w:eastAsia="仿宋" w:cs="仿宋"/>
          <w:snapToGrid w:val="0"/>
          <w:color w:val="auto"/>
          <w:kern w:val="0"/>
          <w:sz w:val="24"/>
          <w:szCs w:val="24"/>
          <w:highlight w:val="none"/>
        </w:rPr>
      </w:pPr>
      <w:r>
        <w:rPr>
          <w:rFonts w:hint="eastAsia" w:ascii="仿宋" w:hAnsi="仿宋" w:eastAsia="仿宋" w:cs="仿宋"/>
          <w:snapToGrid w:val="0"/>
          <w:color w:val="auto"/>
          <w:kern w:val="0"/>
          <w:sz w:val="24"/>
          <w:szCs w:val="24"/>
          <w:highlight w:val="none"/>
          <w:u w:val="none" w:color="595959"/>
        </w:rPr>
        <w:t>第二期：当乙方提供本合同所有服务成果并经甲方验收通过后</w:t>
      </w: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u w:val="single" w:color="595959"/>
          <w:lang w:val="en-US" w:eastAsia="zh-CN"/>
        </w:rPr>
        <w:t>30</w:t>
      </w: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rPr>
        <w:t>工作日内</w:t>
      </w:r>
      <w:r>
        <w:rPr>
          <w:rFonts w:hint="eastAsia" w:ascii="仿宋" w:hAnsi="仿宋" w:eastAsia="仿宋" w:cs="仿宋"/>
          <w:snapToGrid w:val="0"/>
          <w:color w:val="auto"/>
          <w:kern w:val="0"/>
          <w:sz w:val="24"/>
          <w:szCs w:val="24"/>
          <w:highlight w:val="none"/>
          <w:u w:val="none" w:color="595959"/>
        </w:rPr>
        <w:t>，支付剩余款项，</w:t>
      </w:r>
      <w:r>
        <w:rPr>
          <w:rFonts w:hint="eastAsia" w:ascii="仿宋" w:hAnsi="仿宋" w:eastAsia="仿宋" w:cs="仿宋"/>
          <w:snapToGrid w:val="0"/>
          <w:color w:val="auto"/>
          <w:kern w:val="0"/>
          <w:sz w:val="24"/>
          <w:szCs w:val="24"/>
          <w:highlight w:val="none"/>
        </w:rPr>
        <w:t>计人民币</w:t>
      </w: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rPr>
        <w:t>整</w:t>
      </w:r>
      <w:r>
        <w:rPr>
          <w:rFonts w:hint="eastAsia" w:ascii="仿宋" w:hAnsi="仿宋" w:eastAsia="仿宋" w:cs="仿宋"/>
          <w:snapToGrid w:val="0"/>
          <w:color w:val="auto"/>
          <w:sz w:val="24"/>
          <w:szCs w:val="24"/>
          <w:highlight w:val="none"/>
          <w:u w:val="none" w:color="595959"/>
        </w:rPr>
        <w:t>（￥</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none" w:color="595959"/>
        </w:rPr>
        <w:t>整）</w:t>
      </w:r>
      <w:r>
        <w:rPr>
          <w:rFonts w:hint="eastAsia" w:ascii="仿宋" w:hAnsi="仿宋" w:eastAsia="仿宋" w:cs="仿宋"/>
          <w:snapToGrid w:val="0"/>
          <w:color w:val="auto"/>
          <w:kern w:val="0"/>
          <w:sz w:val="24"/>
          <w:szCs w:val="24"/>
          <w:highlight w:val="none"/>
        </w:rPr>
        <w:t>。</w:t>
      </w:r>
    </w:p>
    <w:p w14:paraId="632B6130">
      <w:pPr>
        <w:numPr>
          <w:ilvl w:val="0"/>
          <w:numId w:val="5"/>
        </w:numPr>
        <w:spacing w:line="380" w:lineRule="exact"/>
        <w:ind w:firstLine="352" w:firstLineChars="147"/>
        <w:rPr>
          <w:rFonts w:hint="eastAsia" w:ascii="仿宋" w:hAnsi="仿宋" w:eastAsia="仿宋" w:cs="仿宋"/>
          <w:snapToGrid w:val="0"/>
          <w:color w:val="auto"/>
          <w:kern w:val="0"/>
          <w:sz w:val="24"/>
          <w:szCs w:val="24"/>
          <w:highlight w:val="none"/>
        </w:rPr>
      </w:pPr>
      <w:r>
        <w:rPr>
          <w:rFonts w:hint="eastAsia" w:ascii="仿宋" w:hAnsi="仿宋" w:eastAsia="仿宋" w:cs="仿宋"/>
          <w:snapToGrid w:val="0"/>
          <w:color w:val="auto"/>
          <w:kern w:val="0"/>
          <w:sz w:val="24"/>
          <w:szCs w:val="24"/>
          <w:highlight w:val="none"/>
        </w:rPr>
        <w:t>乙方无预付款要求的，在</w:t>
      </w: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rPr>
        <w:t>时按乙方实际完成的工作量据实结算。</w:t>
      </w:r>
    </w:p>
    <w:p w14:paraId="76D6AA12">
      <w:pPr>
        <w:spacing w:line="380" w:lineRule="exact"/>
        <w:ind w:firstLine="352" w:firstLineChars="147"/>
        <w:rPr>
          <w:rFonts w:hint="eastAsia" w:ascii="仿宋" w:hAnsi="仿宋" w:eastAsia="仿宋" w:cs="仿宋"/>
          <w:snapToGrid w:val="0"/>
          <w:color w:val="auto"/>
          <w:kern w:val="0"/>
          <w:sz w:val="24"/>
          <w:szCs w:val="24"/>
          <w:highlight w:val="none"/>
        </w:rPr>
      </w:pPr>
      <w:r>
        <w:rPr>
          <w:rFonts w:hint="eastAsia" w:ascii="仿宋" w:hAnsi="仿宋" w:eastAsia="仿宋" w:cs="仿宋"/>
          <w:snapToGrid w:val="0"/>
          <w:color w:val="auto"/>
          <w:sz w:val="24"/>
          <w:szCs w:val="24"/>
          <w:highlight w:val="none"/>
          <w:u w:val="none" w:color="595959"/>
        </w:rPr>
        <w:t>(4)</w:t>
      </w:r>
      <w:r>
        <w:rPr>
          <w:rFonts w:hint="eastAsia" w:ascii="仿宋" w:hAnsi="仿宋" w:eastAsia="仿宋" w:cs="仿宋"/>
          <w:snapToGrid w:val="0"/>
          <w:color w:val="auto"/>
          <w:kern w:val="0"/>
          <w:sz w:val="24"/>
          <w:szCs w:val="24"/>
          <w:highlight w:val="none"/>
        </w:rPr>
        <w:t>合同签订后</w:t>
      </w:r>
      <w:r>
        <w:rPr>
          <w:rFonts w:hint="eastAsia" w:ascii="仿宋" w:hAnsi="仿宋" w:eastAsia="仿宋" w:cs="仿宋"/>
          <w:snapToGrid w:val="0"/>
          <w:color w:val="auto"/>
          <w:kern w:val="0"/>
          <w:sz w:val="24"/>
          <w:szCs w:val="24"/>
          <w:highlight w:val="none"/>
          <w:u w:val="single"/>
        </w:rPr>
        <w:t xml:space="preserve">  </w:t>
      </w:r>
      <w:r>
        <w:rPr>
          <w:rFonts w:hint="eastAsia" w:ascii="仿宋" w:hAnsi="仿宋" w:eastAsia="仿宋" w:cs="仿宋"/>
          <w:snapToGrid w:val="0"/>
          <w:color w:val="auto"/>
          <w:kern w:val="0"/>
          <w:sz w:val="24"/>
          <w:szCs w:val="24"/>
          <w:highlight w:val="none"/>
        </w:rPr>
        <w:t>个工作日内支付首付款，付款比例为合同金额的</w:t>
      </w:r>
      <w:r>
        <w:rPr>
          <w:rFonts w:hint="eastAsia" w:ascii="仿宋" w:hAnsi="仿宋" w:eastAsia="仿宋" w:cs="仿宋"/>
          <w:snapToGrid w:val="0"/>
          <w:color w:val="auto"/>
          <w:kern w:val="0"/>
          <w:sz w:val="24"/>
          <w:szCs w:val="24"/>
          <w:highlight w:val="none"/>
          <w:u w:val="single"/>
        </w:rPr>
        <w:t xml:space="preserve">   </w:t>
      </w:r>
      <w:r>
        <w:rPr>
          <w:rFonts w:hint="eastAsia" w:ascii="仿宋" w:hAnsi="仿宋" w:eastAsia="仿宋" w:cs="仿宋"/>
          <w:snapToGrid w:val="0"/>
          <w:color w:val="auto"/>
          <w:kern w:val="0"/>
          <w:sz w:val="24"/>
          <w:szCs w:val="24"/>
          <w:highlight w:val="none"/>
        </w:rPr>
        <w:t>%，计人民币</w:t>
      </w:r>
      <w:r>
        <w:rPr>
          <w:rFonts w:hint="eastAsia" w:ascii="仿宋" w:hAnsi="仿宋" w:eastAsia="仿宋" w:cs="仿宋"/>
          <w:snapToGrid w:val="0"/>
          <w:color w:val="auto"/>
          <w:kern w:val="0"/>
          <w:sz w:val="24"/>
          <w:szCs w:val="24"/>
          <w:highlight w:val="none"/>
          <w:u w:val="single"/>
        </w:rPr>
        <w:t xml:space="preserve">        </w:t>
      </w:r>
      <w:r>
        <w:rPr>
          <w:rFonts w:hint="eastAsia" w:ascii="仿宋" w:hAnsi="仿宋" w:eastAsia="仿宋" w:cs="仿宋"/>
          <w:snapToGrid w:val="0"/>
          <w:color w:val="auto"/>
          <w:kern w:val="0"/>
          <w:sz w:val="24"/>
          <w:szCs w:val="24"/>
          <w:highlight w:val="none"/>
        </w:rPr>
        <w:t xml:space="preserve"> 整（￥</w:t>
      </w:r>
      <w:r>
        <w:rPr>
          <w:rFonts w:hint="eastAsia" w:ascii="仿宋" w:hAnsi="仿宋" w:eastAsia="仿宋" w:cs="仿宋"/>
          <w:snapToGrid w:val="0"/>
          <w:color w:val="auto"/>
          <w:kern w:val="0"/>
          <w:sz w:val="24"/>
          <w:szCs w:val="24"/>
          <w:highlight w:val="none"/>
          <w:u w:val="single"/>
        </w:rPr>
        <w:t xml:space="preserve">       </w:t>
      </w:r>
      <w:r>
        <w:rPr>
          <w:rFonts w:hint="eastAsia" w:ascii="仿宋" w:hAnsi="仿宋" w:eastAsia="仿宋" w:cs="仿宋"/>
          <w:snapToGrid w:val="0"/>
          <w:color w:val="auto"/>
          <w:kern w:val="0"/>
          <w:sz w:val="24"/>
          <w:szCs w:val="24"/>
          <w:highlight w:val="none"/>
        </w:rPr>
        <w:t>整），其余费用</w:t>
      </w:r>
      <w:r>
        <w:rPr>
          <w:rFonts w:hint="eastAsia" w:ascii="仿宋" w:hAnsi="仿宋" w:eastAsia="仿宋" w:cs="仿宋"/>
          <w:snapToGrid w:val="0"/>
          <w:color w:val="auto"/>
          <w:kern w:val="0"/>
          <w:sz w:val="24"/>
          <w:szCs w:val="24"/>
          <w:highlight w:val="none"/>
          <w:u w:val="single"/>
        </w:rPr>
        <w:t xml:space="preserve">          </w:t>
      </w:r>
      <w:r>
        <w:rPr>
          <w:rFonts w:hint="eastAsia" w:ascii="仿宋" w:hAnsi="仿宋" w:eastAsia="仿宋" w:cs="仿宋"/>
          <w:snapToGrid w:val="0"/>
          <w:color w:val="auto"/>
          <w:kern w:val="0"/>
          <w:sz w:val="24"/>
          <w:szCs w:val="24"/>
          <w:highlight w:val="none"/>
        </w:rPr>
        <w:t>按乙方实际进度工作量据实结算。</w:t>
      </w:r>
    </w:p>
    <w:p w14:paraId="56206022">
      <w:pPr>
        <w:spacing w:line="380" w:lineRule="exact"/>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 xml:space="preserve">    6.2甲方在支付上述款项前，应收到乙方提供的与应付款项等额的税务发票。因乙方未能根据合同提交相应票据和资料，导致甲方未能如期付款的，甲方不承担延期付款责任。</w:t>
      </w:r>
    </w:p>
    <w:p w14:paraId="343F7EE1">
      <w:pPr>
        <w:pStyle w:val="18"/>
        <w:snapToGrid w:val="0"/>
        <w:spacing w:line="380" w:lineRule="exact"/>
        <w:ind w:firstLine="354" w:firstLineChars="147"/>
        <w:rPr>
          <w:rFonts w:hint="eastAsia" w:ascii="仿宋" w:hAnsi="仿宋" w:eastAsia="仿宋" w:cs="仿宋"/>
          <w:b/>
          <w:snapToGrid w:val="0"/>
          <w:color w:val="auto"/>
          <w:sz w:val="24"/>
          <w:szCs w:val="24"/>
          <w:highlight w:val="none"/>
          <w:u w:val="none" w:color="595959"/>
        </w:rPr>
      </w:pPr>
      <w:r>
        <w:rPr>
          <w:rFonts w:hint="eastAsia" w:ascii="仿宋" w:hAnsi="仿宋" w:eastAsia="仿宋" w:cs="仿宋"/>
          <w:b/>
          <w:snapToGrid w:val="0"/>
          <w:color w:val="auto"/>
          <w:sz w:val="24"/>
          <w:szCs w:val="24"/>
          <w:highlight w:val="none"/>
          <w:u w:val="none" w:color="595959"/>
        </w:rPr>
        <w:t>七、争议与纠纷处理</w:t>
      </w:r>
    </w:p>
    <w:p w14:paraId="6BACF498">
      <w:pPr>
        <w:spacing w:line="380" w:lineRule="exact"/>
        <w:ind w:firstLine="480"/>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7.1 本合同执行过程中发生争议或纠纷时，由甲乙双方协商解决，若协商不成，双方一致同意采用以下第</w:t>
      </w: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rPr>
        <w:t>种</w:t>
      </w:r>
      <w:r>
        <w:rPr>
          <w:rFonts w:hint="eastAsia" w:ascii="仿宋" w:hAnsi="仿宋" w:eastAsia="仿宋" w:cs="仿宋"/>
          <w:snapToGrid w:val="0"/>
          <w:color w:val="auto"/>
          <w:kern w:val="0"/>
          <w:sz w:val="24"/>
          <w:szCs w:val="24"/>
          <w:highlight w:val="none"/>
          <w:u w:val="none" w:color="595959"/>
        </w:rPr>
        <w:t>方式处理：</w:t>
      </w:r>
    </w:p>
    <w:p w14:paraId="2D1E358F">
      <w:pPr>
        <w:spacing w:line="380" w:lineRule="exact"/>
        <w:ind w:firstLine="480"/>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（1）申请仲裁，约定向甲方所在地仲裁委员会申请仲裁。</w:t>
      </w:r>
    </w:p>
    <w:p w14:paraId="7CBA166D">
      <w:pPr>
        <w:spacing w:line="380" w:lineRule="exact"/>
        <w:ind w:firstLine="480"/>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（2）提起诉讼，约定向甲方所在地法院提起诉讼。</w:t>
      </w:r>
    </w:p>
    <w:p w14:paraId="14192CF5">
      <w:pPr>
        <w:pStyle w:val="18"/>
        <w:snapToGrid w:val="0"/>
        <w:spacing w:line="380" w:lineRule="exact"/>
        <w:ind w:firstLine="354" w:firstLineChars="147"/>
        <w:rPr>
          <w:rFonts w:hint="eastAsia" w:ascii="仿宋" w:hAnsi="仿宋" w:eastAsia="仿宋" w:cs="仿宋"/>
          <w:b/>
          <w:snapToGrid w:val="0"/>
          <w:color w:val="auto"/>
          <w:sz w:val="24"/>
          <w:szCs w:val="24"/>
          <w:highlight w:val="none"/>
          <w:u w:val="none" w:color="595959"/>
        </w:rPr>
      </w:pPr>
      <w:r>
        <w:rPr>
          <w:rFonts w:hint="eastAsia" w:ascii="仿宋" w:hAnsi="仿宋" w:eastAsia="仿宋" w:cs="仿宋"/>
          <w:b/>
          <w:snapToGrid w:val="0"/>
          <w:color w:val="auto"/>
          <w:sz w:val="24"/>
          <w:szCs w:val="24"/>
          <w:highlight w:val="none"/>
          <w:u w:val="none" w:color="595959"/>
        </w:rPr>
        <w:t>八、知识产权</w:t>
      </w:r>
    </w:p>
    <w:p w14:paraId="520FF7C2">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8.1 乙方应保证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p>
    <w:p w14:paraId="641AA3B9">
      <w:pPr>
        <w:pStyle w:val="18"/>
        <w:snapToGrid w:val="0"/>
        <w:spacing w:line="380" w:lineRule="exact"/>
        <w:ind w:firstLine="354" w:firstLineChars="147"/>
        <w:rPr>
          <w:rFonts w:hint="eastAsia" w:ascii="仿宋" w:hAnsi="仿宋" w:eastAsia="仿宋" w:cs="仿宋"/>
          <w:b/>
          <w:snapToGrid w:val="0"/>
          <w:color w:val="auto"/>
          <w:sz w:val="24"/>
          <w:szCs w:val="24"/>
          <w:highlight w:val="none"/>
          <w:u w:val="none" w:color="595959"/>
        </w:rPr>
      </w:pPr>
      <w:r>
        <w:rPr>
          <w:rFonts w:hint="eastAsia" w:ascii="仿宋" w:hAnsi="仿宋" w:eastAsia="仿宋" w:cs="仿宋"/>
          <w:b/>
          <w:snapToGrid w:val="0"/>
          <w:color w:val="auto"/>
          <w:sz w:val="24"/>
          <w:szCs w:val="24"/>
          <w:highlight w:val="none"/>
          <w:u w:val="none" w:color="595959"/>
        </w:rPr>
        <w:t>九、产权归属</w:t>
      </w:r>
    </w:p>
    <w:p w14:paraId="5600004D">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9.1 本项目的成果形成的知识产权归属约定如下：</w:t>
      </w:r>
      <w:r>
        <w:rPr>
          <w:rFonts w:hint="eastAsia" w:ascii="仿宋" w:hAnsi="仿宋" w:eastAsia="仿宋" w:cs="仿宋"/>
          <w:snapToGrid w:val="0"/>
          <w:color w:val="auto"/>
          <w:sz w:val="24"/>
          <w:szCs w:val="24"/>
          <w:highlight w:val="none"/>
          <w:u w:val="single"/>
        </w:rPr>
        <w:t xml:space="preserve">  </w:t>
      </w:r>
      <w:r>
        <w:rPr>
          <w:rFonts w:hint="eastAsia" w:ascii="仿宋" w:hAnsi="仿宋" w:eastAsia="仿宋" w:cs="仿宋"/>
          <w:snapToGrid w:val="0"/>
          <w:color w:val="auto"/>
          <w:sz w:val="24"/>
          <w:szCs w:val="24"/>
          <w:highlight w:val="none"/>
          <w:u w:val="single"/>
          <w:lang w:eastAsia="zh-CN"/>
        </w:rPr>
        <w:t>归属于甲方</w:t>
      </w:r>
      <w:r>
        <w:rPr>
          <w:rFonts w:hint="eastAsia" w:ascii="仿宋" w:hAnsi="仿宋" w:eastAsia="仿宋" w:cs="仿宋"/>
          <w:snapToGrid w:val="0"/>
          <w:color w:val="auto"/>
          <w:sz w:val="24"/>
          <w:szCs w:val="24"/>
          <w:highlight w:val="none"/>
          <w:u w:val="none" w:color="595959"/>
        </w:rPr>
        <w:t>__。</w:t>
      </w:r>
    </w:p>
    <w:p w14:paraId="0F776792">
      <w:pPr>
        <w:pStyle w:val="18"/>
        <w:snapToGrid w:val="0"/>
        <w:spacing w:line="380" w:lineRule="exact"/>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如未约定，产权均归属于甲方。</w:t>
      </w:r>
    </w:p>
    <w:p w14:paraId="2943D1B9">
      <w:pPr>
        <w:pStyle w:val="18"/>
        <w:snapToGrid w:val="0"/>
        <w:spacing w:line="380" w:lineRule="exact"/>
        <w:ind w:firstLine="354" w:firstLineChars="147"/>
        <w:rPr>
          <w:rFonts w:hint="eastAsia" w:ascii="仿宋" w:hAnsi="仿宋" w:eastAsia="仿宋" w:cs="仿宋"/>
          <w:b/>
          <w:snapToGrid w:val="0"/>
          <w:color w:val="auto"/>
          <w:sz w:val="24"/>
          <w:szCs w:val="24"/>
          <w:highlight w:val="none"/>
          <w:u w:val="none" w:color="595959"/>
        </w:rPr>
      </w:pPr>
      <w:r>
        <w:rPr>
          <w:rFonts w:hint="eastAsia" w:ascii="仿宋" w:hAnsi="仿宋" w:eastAsia="仿宋" w:cs="仿宋"/>
          <w:b/>
          <w:snapToGrid w:val="0"/>
          <w:color w:val="auto"/>
          <w:sz w:val="24"/>
          <w:szCs w:val="24"/>
          <w:highlight w:val="none"/>
          <w:u w:val="none" w:color="595959"/>
        </w:rPr>
        <w:t>十、权利和义务</w:t>
      </w:r>
    </w:p>
    <w:p w14:paraId="0EC6D66A">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10.1 甲方权利</w:t>
      </w:r>
    </w:p>
    <w:p w14:paraId="5332ED6E">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10.1.1甲方有权对乙方依照合同提供的服务进行监督和检查。</w:t>
      </w:r>
    </w:p>
    <w:p w14:paraId="77DBF121">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10.1.2甲方有权对所发现的问题进行调查和处理，若发现乙方完成的服务内容与合同约定不符的，甲方有权要求乙方限期整改，若造成甲方损失，还应承担违约责任。</w:t>
      </w:r>
    </w:p>
    <w:p w14:paraId="5DCCAAF7">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10.2 甲方义务</w:t>
      </w:r>
    </w:p>
    <w:p w14:paraId="436D99FD">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10.2.1 在能力范围内，配合乙方履行本合同，尽量为乙方的履约提供必要的支持。</w:t>
      </w:r>
    </w:p>
    <w:p w14:paraId="46E5436E">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10.2.2 按照合同约定向乙方支付款项。</w:t>
      </w:r>
    </w:p>
    <w:p w14:paraId="21E09312">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10.2.3 合同履行完毕后，及时组织验收。</w:t>
      </w:r>
    </w:p>
    <w:p w14:paraId="72E50CEC">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10.3 乙方权利</w:t>
      </w:r>
    </w:p>
    <w:p w14:paraId="5E9F880F">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10.3.1 乙方有权依约收取费用。</w:t>
      </w:r>
    </w:p>
    <w:p w14:paraId="57994B15">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10.3.2 乙方有权拒绝甲方提出的除合同约定和乙方承诺以外的其他要求。</w:t>
      </w:r>
    </w:p>
    <w:p w14:paraId="7CD84690">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10.3.3 乙方有权拒绝甲方在服务过程中的不正当要求和违规行为，并可以依法主张其合法权利。</w:t>
      </w:r>
    </w:p>
    <w:p w14:paraId="3A0F5901">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10.4 乙方义务</w:t>
      </w:r>
    </w:p>
    <w:p w14:paraId="3F562715">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10.4.1 严格执行国家的法律、法规，守法经营，按章办事，自觉维护甲方的利益。</w:t>
      </w:r>
    </w:p>
    <w:p w14:paraId="648772ED">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10.4.2 接受甲方的检查、监督，严格履行服务承诺，做到诚实、守信。</w:t>
      </w:r>
    </w:p>
    <w:p w14:paraId="4DF4F77B">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10.4.3按照响应文件的承诺以服务进程进行管理与控制，包括制定方案、合理配备工作人员、设施设备，按期组织实施，交付项目成果，保证服务项目质量。</w:t>
      </w:r>
    </w:p>
    <w:p w14:paraId="08866BDE">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10.4.4乙方应严格按照安全标准进行本项目服务，并采取必要的安全防护措施。若需上路作业应按规定办理相关手续，确保本项目服务人员、车辆及设备等的安全。乙方在服务过程中发生的任何交通、生产事故造成财产损失或人员伤亡，以及与其他第三方发生的任何纠纷或事故，甲方一律不承担任何责任和费用。</w:t>
      </w:r>
    </w:p>
    <w:p w14:paraId="66A2B10A">
      <w:pPr>
        <w:pStyle w:val="18"/>
        <w:snapToGrid w:val="0"/>
        <w:spacing w:line="380" w:lineRule="exact"/>
        <w:ind w:firstLine="354"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b/>
          <w:snapToGrid w:val="0"/>
          <w:color w:val="auto"/>
          <w:sz w:val="24"/>
          <w:szCs w:val="24"/>
          <w:highlight w:val="none"/>
          <w:u w:val="none" w:color="595959"/>
        </w:rPr>
        <w:t>十一、违约责任</w:t>
      </w:r>
    </w:p>
    <w:p w14:paraId="232E1ABF">
      <w:pPr>
        <w:autoSpaceDE w:val="0"/>
        <w:spacing w:line="380" w:lineRule="exact"/>
        <w:ind w:firstLine="480"/>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11.1如乙方未按合同约定，或未按照甲、乙双方最终商定的整改期限内完成本项目，每延期一日(或每发生一次)，甲方有权要求乙方向甲方支付合同总价</w:t>
      </w:r>
      <w:r>
        <w:rPr>
          <w:rFonts w:hint="eastAsia" w:ascii="仿宋" w:hAnsi="仿宋" w:eastAsia="仿宋" w:cs="仿宋"/>
          <w:snapToGrid w:val="0"/>
          <w:color w:val="auto"/>
          <w:kern w:val="0"/>
          <w:sz w:val="24"/>
          <w:szCs w:val="24"/>
          <w:highlight w:val="none"/>
          <w:u w:val="single" w:color="auto"/>
        </w:rPr>
        <w:t>0.5</w:t>
      </w:r>
      <w:r>
        <w:rPr>
          <w:rFonts w:hint="eastAsia" w:ascii="仿宋" w:hAnsi="仿宋" w:eastAsia="仿宋" w:cs="仿宋"/>
          <w:snapToGrid w:val="0"/>
          <w:color w:val="auto"/>
          <w:kern w:val="0"/>
          <w:sz w:val="24"/>
          <w:szCs w:val="24"/>
          <w:highlight w:val="none"/>
          <w:u w:val="none" w:color="595959"/>
        </w:rPr>
        <w:t>‰的违约金，但违约金的总数不超过合同总价的10％。如延期超过</w:t>
      </w: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u w:val="none" w:color="595959"/>
        </w:rPr>
        <w:t>日或者延误服务确认</w:t>
      </w: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u w:val="none" w:color="595959"/>
        </w:rPr>
        <w:t>次，甲方有权解除合同，并要求乙方赔偿损失。</w:t>
      </w:r>
    </w:p>
    <w:p w14:paraId="64B92982">
      <w:pPr>
        <w:autoSpaceDE w:val="0"/>
        <w:spacing w:line="380" w:lineRule="exact"/>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　　11.2如甲方未按合同约定的期限付款，每延期一日，乙方有权要求甲方支付合同总价</w:t>
      </w: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u w:val="none" w:color="595959"/>
        </w:rPr>
        <w:t>‰的违约金，但违约金的总数不超过合同总价的10％。如延期付款超过</w:t>
      </w: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u w:val="none" w:color="595959"/>
        </w:rPr>
        <w:t>日，乙方有权解除合同，并要求甲方赔偿损失。</w:t>
      </w:r>
    </w:p>
    <w:p w14:paraId="2D5BEBF5">
      <w:pPr>
        <w:autoSpaceDE w:val="0"/>
        <w:spacing w:line="380" w:lineRule="exact"/>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　　11.3因乙方工作失误而造成的破坏或损失，乙方需承担赔偿或修复完好的责任，由此而发生的相关费用由乙方承担。</w:t>
      </w:r>
    </w:p>
    <w:p w14:paraId="3F2E1C49">
      <w:pPr>
        <w:autoSpaceDE w:val="0"/>
        <w:spacing w:line="380" w:lineRule="exact"/>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　　11.4如因乙方服务工作不及时或者质量不能满足合同要求，造成影响的，甲方有权指定第三方进行服务，所发生费用全部由乙方承担。</w:t>
      </w:r>
    </w:p>
    <w:p w14:paraId="62DBF731">
      <w:pPr>
        <w:autoSpaceDE w:val="0"/>
        <w:spacing w:line="380" w:lineRule="exact"/>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　　11.5如发生违约事件，履约方要求违约方支付违约金时，应当以书面方式通知违约方，内容包括违约事件、违约金、支付时间和方式等，违约方在收到上述通知后，应当于7日内答复对方，并支付违约金。</w:t>
      </w:r>
    </w:p>
    <w:p w14:paraId="741E2DFE">
      <w:pPr>
        <w:autoSpaceDE w:val="0"/>
        <w:spacing w:line="380" w:lineRule="exact"/>
        <w:rPr>
          <w:rFonts w:hint="eastAsia" w:ascii="仿宋" w:hAnsi="仿宋" w:eastAsia="仿宋" w:cs="仿宋"/>
          <w:snapToGrid w:val="0"/>
          <w:color w:val="auto"/>
          <w:kern w:val="0"/>
          <w:sz w:val="24"/>
          <w:szCs w:val="24"/>
          <w:highlight w:val="none"/>
          <w:u w:val="single" w:color="595959"/>
        </w:rPr>
      </w:pPr>
      <w:r>
        <w:rPr>
          <w:rFonts w:hint="eastAsia" w:ascii="仿宋" w:hAnsi="仿宋" w:eastAsia="仿宋" w:cs="仿宋"/>
          <w:snapToGrid w:val="0"/>
          <w:color w:val="auto"/>
          <w:kern w:val="0"/>
          <w:sz w:val="24"/>
          <w:szCs w:val="24"/>
          <w:highlight w:val="none"/>
          <w:u w:val="none" w:color="595959"/>
        </w:rPr>
        <w:t>　　11.6其他违约责任约定：</w:t>
      </w:r>
      <w:r>
        <w:rPr>
          <w:rFonts w:hint="eastAsia" w:ascii="仿宋" w:hAnsi="仿宋" w:eastAsia="仿宋" w:cs="仿宋"/>
          <w:snapToGrid w:val="0"/>
          <w:color w:val="auto"/>
          <w:kern w:val="0"/>
          <w:sz w:val="24"/>
          <w:szCs w:val="24"/>
          <w:highlight w:val="none"/>
          <w:u w:val="single" w:color="595959"/>
        </w:rPr>
        <w:t xml:space="preserve">                                               </w:t>
      </w:r>
    </w:p>
    <w:p w14:paraId="0DF9FFC3">
      <w:pPr>
        <w:pStyle w:val="18"/>
        <w:snapToGrid w:val="0"/>
        <w:spacing w:line="380" w:lineRule="exact"/>
        <w:ind w:firstLine="354" w:firstLineChars="147"/>
        <w:rPr>
          <w:rFonts w:hint="eastAsia" w:ascii="仿宋" w:hAnsi="仿宋" w:eastAsia="仿宋" w:cs="仿宋"/>
          <w:b/>
          <w:snapToGrid w:val="0"/>
          <w:color w:val="auto"/>
          <w:sz w:val="24"/>
          <w:szCs w:val="24"/>
          <w:highlight w:val="none"/>
          <w:u w:val="none" w:color="595959"/>
        </w:rPr>
      </w:pPr>
      <w:r>
        <w:rPr>
          <w:rFonts w:hint="eastAsia" w:ascii="仿宋" w:hAnsi="仿宋" w:eastAsia="仿宋" w:cs="仿宋"/>
          <w:b/>
          <w:snapToGrid w:val="0"/>
          <w:color w:val="auto"/>
          <w:sz w:val="24"/>
          <w:szCs w:val="24"/>
          <w:highlight w:val="none"/>
          <w:u w:val="none" w:color="595959"/>
        </w:rPr>
        <w:t>十二、保密条款</w:t>
      </w:r>
    </w:p>
    <w:p w14:paraId="52AE4E58">
      <w:pPr>
        <w:spacing w:line="380" w:lineRule="exact"/>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 xml:space="preserve">    12.1乙方在履行合同过程中对获知甲方信息资料均负有保密责任，未经许可不得向第三方泄露。如违反本条款规定，应当承担相应的法律责任，但法定或约定应向司法机关或仲裁机构提供的除外。</w:t>
      </w:r>
    </w:p>
    <w:p w14:paraId="1E8ABB54">
      <w:pPr>
        <w:spacing w:line="380" w:lineRule="exact"/>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 xml:space="preserve">    12.2乙方对所获得甲方的保密信息负有保密义务的期限为永久，不受本合同解除的限制，直至保密信息已进入公共渠道或甲方以书面形式明确表示无须再负保密义务为止。</w:t>
      </w:r>
    </w:p>
    <w:p w14:paraId="1482C2C8">
      <w:pPr>
        <w:spacing w:line="380" w:lineRule="exact"/>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 xml:space="preserve">    12.3甲方有特殊保密要求的，应当另行签订保密协议，以保密协议的约定为准。</w:t>
      </w:r>
    </w:p>
    <w:p w14:paraId="447CFAFE">
      <w:pPr>
        <w:pStyle w:val="18"/>
        <w:snapToGrid w:val="0"/>
        <w:spacing w:line="380" w:lineRule="exact"/>
        <w:ind w:firstLine="354" w:firstLineChars="147"/>
        <w:rPr>
          <w:rFonts w:hint="eastAsia" w:ascii="仿宋" w:hAnsi="仿宋" w:eastAsia="仿宋" w:cs="仿宋"/>
          <w:b/>
          <w:snapToGrid w:val="0"/>
          <w:color w:val="auto"/>
          <w:sz w:val="24"/>
          <w:szCs w:val="24"/>
          <w:highlight w:val="none"/>
          <w:u w:val="none" w:color="595959"/>
        </w:rPr>
      </w:pPr>
      <w:r>
        <w:rPr>
          <w:rFonts w:hint="eastAsia" w:ascii="仿宋" w:hAnsi="仿宋" w:eastAsia="仿宋" w:cs="仿宋"/>
          <w:b/>
          <w:snapToGrid w:val="0"/>
          <w:color w:val="auto"/>
          <w:sz w:val="24"/>
          <w:szCs w:val="24"/>
          <w:highlight w:val="none"/>
          <w:u w:val="none" w:color="595959"/>
        </w:rPr>
        <w:t>十三、转包或分包</w:t>
      </w:r>
    </w:p>
    <w:p w14:paraId="08C28D84">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13.1 本合同范围内的服务，应由乙方直接组织实施，不得转让他人。</w:t>
      </w:r>
    </w:p>
    <w:p w14:paraId="5661B4CC">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13.2 除非得到甲方的书面同意，乙方不得分包给他人。</w:t>
      </w:r>
    </w:p>
    <w:p w14:paraId="04C90EA8">
      <w:pPr>
        <w:pStyle w:val="18"/>
        <w:snapToGrid w:val="0"/>
        <w:spacing w:line="380" w:lineRule="exact"/>
        <w:ind w:firstLine="354" w:firstLineChars="147"/>
        <w:rPr>
          <w:rFonts w:hint="eastAsia" w:ascii="仿宋" w:hAnsi="仿宋" w:eastAsia="仿宋" w:cs="仿宋"/>
          <w:b/>
          <w:snapToGrid w:val="0"/>
          <w:color w:val="auto"/>
          <w:sz w:val="24"/>
          <w:szCs w:val="24"/>
          <w:highlight w:val="none"/>
          <w:u w:val="none" w:color="595959"/>
        </w:rPr>
      </w:pPr>
      <w:r>
        <w:rPr>
          <w:rFonts w:hint="eastAsia" w:ascii="仿宋" w:hAnsi="仿宋" w:eastAsia="仿宋" w:cs="仿宋"/>
          <w:b/>
          <w:snapToGrid w:val="0"/>
          <w:color w:val="auto"/>
          <w:sz w:val="24"/>
          <w:szCs w:val="24"/>
          <w:highlight w:val="none"/>
          <w:u w:val="none" w:color="595959"/>
        </w:rPr>
        <w:t>十四、履约担保</w:t>
      </w:r>
    </w:p>
    <w:p w14:paraId="52C13D52">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 xml:space="preserve"> 14.1 本合同履约担保按照以下第_____种方式提供：</w:t>
      </w:r>
    </w:p>
    <w:p w14:paraId="2DD38D51">
      <w:pPr>
        <w:pStyle w:val="18"/>
        <w:snapToGrid w:val="0"/>
        <w:spacing w:line="380" w:lineRule="exact"/>
        <w:ind w:firstLine="472" w:firstLineChars="19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 乙方不提供履约担保。</w:t>
      </w:r>
    </w:p>
    <w:p w14:paraId="1585D9AC">
      <w:pPr>
        <w:pStyle w:val="18"/>
        <w:snapToGrid w:val="0"/>
        <w:spacing w:line="380" w:lineRule="exact"/>
        <w:ind w:firstLine="472" w:firstLineChars="197"/>
        <w:jc w:val="left"/>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(2) 乙方提供银行保函，保函金额为合同金额的</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none" w:color="595959"/>
        </w:rPr>
        <w:t>%,</w:t>
      </w:r>
      <w:r>
        <w:rPr>
          <w:rFonts w:hint="eastAsia" w:ascii="仿宋" w:hAnsi="仿宋" w:eastAsia="仿宋" w:cs="仿宋"/>
          <w:snapToGrid w:val="0"/>
          <w:color w:val="auto"/>
          <w:sz w:val="24"/>
          <w:szCs w:val="24"/>
          <w:highlight w:val="none"/>
        </w:rPr>
        <w:t>计人民币</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rPr>
        <w:t>整，</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none" w:color="595959"/>
        </w:rPr>
        <w:t>（￥</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none" w:color="595959"/>
        </w:rPr>
        <w:t>整），到期日为_______。</w:t>
      </w:r>
    </w:p>
    <w:p w14:paraId="6D335ABD">
      <w:pPr>
        <w:pStyle w:val="18"/>
        <w:snapToGrid w:val="0"/>
        <w:spacing w:line="380" w:lineRule="exact"/>
        <w:ind w:firstLine="472" w:firstLineChars="19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(3) 乙方采用银行汇票、转账支票或电汇方式缴纳履约保证金，金额为人民币__________整，在合同签订前___个工作日内一次性缴纳。合同履行结束后___个工作日内，将履约保证金退还给乙方（无息退还）。如乙方违反合同约定，甲方有权根据合同条款从履约保证金中扣除相应的违约金额。</w:t>
      </w:r>
    </w:p>
    <w:p w14:paraId="3266B7F8">
      <w:pPr>
        <w:pStyle w:val="18"/>
        <w:snapToGrid w:val="0"/>
        <w:spacing w:line="380" w:lineRule="exact"/>
        <w:ind w:firstLine="480"/>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若根据合同约定或因其它任何原因使该项履约保证金被甲方扣除或经协商抵扣或用于赔偿甲方及/或第三方损失等情形减少而不足本合同履约保证金规定数目的，乙方应当在该情形出现之日起3个工作日内日内将其补足。</w:t>
      </w:r>
    </w:p>
    <w:p w14:paraId="4CE441B8">
      <w:pPr>
        <w:pStyle w:val="18"/>
        <w:snapToGrid w:val="0"/>
        <w:spacing w:line="380" w:lineRule="exact"/>
        <w:ind w:firstLine="354" w:firstLineChars="147"/>
        <w:rPr>
          <w:rFonts w:hint="eastAsia" w:ascii="仿宋" w:hAnsi="仿宋" w:eastAsia="仿宋" w:cs="仿宋"/>
          <w:b/>
          <w:snapToGrid w:val="0"/>
          <w:color w:val="auto"/>
          <w:sz w:val="24"/>
          <w:szCs w:val="24"/>
          <w:highlight w:val="none"/>
          <w:u w:val="none" w:color="595959"/>
        </w:rPr>
      </w:pPr>
      <w:r>
        <w:rPr>
          <w:rFonts w:hint="eastAsia" w:ascii="仿宋" w:hAnsi="仿宋" w:eastAsia="仿宋" w:cs="仿宋"/>
          <w:b/>
          <w:snapToGrid w:val="0"/>
          <w:color w:val="auto"/>
          <w:sz w:val="24"/>
          <w:szCs w:val="24"/>
          <w:highlight w:val="none"/>
          <w:u w:val="none" w:color="595959"/>
        </w:rPr>
        <w:t>十五、其他条款</w:t>
      </w:r>
    </w:p>
    <w:p w14:paraId="009E9ECF">
      <w:pPr>
        <w:pStyle w:val="18"/>
        <w:snapToGrid w:val="0"/>
        <w:spacing w:line="380" w:lineRule="exact"/>
        <w:rPr>
          <w:rFonts w:hint="eastAsia" w:ascii="仿宋" w:hAnsi="仿宋" w:eastAsia="仿宋" w:cs="仿宋"/>
          <w:b/>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 xml:space="preserve">     </w:t>
      </w:r>
      <w:r>
        <w:rPr>
          <w:rFonts w:hint="eastAsia" w:ascii="仿宋" w:hAnsi="仿宋" w:eastAsia="仿宋" w:cs="仿宋"/>
          <w:snapToGrid w:val="0"/>
          <w:color w:val="auto"/>
          <w:sz w:val="24"/>
          <w:szCs w:val="24"/>
          <w:highlight w:val="none"/>
          <w:u w:val="single" w:color="595959"/>
        </w:rPr>
        <w:t xml:space="preserve">                                                                    </w:t>
      </w:r>
    </w:p>
    <w:p w14:paraId="2A1A5506">
      <w:pPr>
        <w:spacing w:line="380" w:lineRule="exact"/>
        <w:ind w:firstLine="480"/>
        <w:rPr>
          <w:rFonts w:hint="eastAsia" w:ascii="仿宋" w:hAnsi="仿宋" w:eastAsia="仿宋" w:cs="仿宋"/>
          <w:b/>
          <w:snapToGrid w:val="0"/>
          <w:color w:val="auto"/>
          <w:sz w:val="24"/>
          <w:szCs w:val="24"/>
          <w:highlight w:val="none"/>
          <w:u w:val="none" w:color="595959"/>
        </w:rPr>
      </w:pPr>
      <w:r>
        <w:rPr>
          <w:rFonts w:hint="eastAsia" w:ascii="仿宋" w:hAnsi="仿宋" w:eastAsia="仿宋" w:cs="仿宋"/>
          <w:b/>
          <w:snapToGrid w:val="0"/>
          <w:color w:val="auto"/>
          <w:sz w:val="24"/>
          <w:szCs w:val="24"/>
          <w:highlight w:val="none"/>
          <w:u w:val="none" w:color="595959"/>
        </w:rPr>
        <w:t>十六、组成本合同的文件</w:t>
      </w:r>
    </w:p>
    <w:p w14:paraId="183F4DA3">
      <w:pPr>
        <w:spacing w:line="380" w:lineRule="exact"/>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　　16.1 合同及附件；</w:t>
      </w:r>
    </w:p>
    <w:p w14:paraId="10EA9B06">
      <w:pPr>
        <w:spacing w:line="380" w:lineRule="exact"/>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　　16.2成交通知书；</w:t>
      </w:r>
    </w:p>
    <w:p w14:paraId="288A6F68">
      <w:pPr>
        <w:spacing w:line="380" w:lineRule="exact"/>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　　16.3采购文件和乙方的响应文件；</w:t>
      </w:r>
    </w:p>
    <w:p w14:paraId="3AAF7491">
      <w:pPr>
        <w:spacing w:line="380" w:lineRule="exact"/>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　　16.4采购过程中有关补充资料和澄清文件等（如有）；</w:t>
      </w:r>
    </w:p>
    <w:p w14:paraId="47F7F341">
      <w:pPr>
        <w:spacing w:line="380" w:lineRule="exact"/>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　　16.5 甲乙双方商定的其他必要文件。</w:t>
      </w:r>
    </w:p>
    <w:p w14:paraId="7BAB7C14">
      <w:pPr>
        <w:spacing w:line="380" w:lineRule="exact"/>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　　上述文件内容互为补充，如有不明确，由甲方负责解释。</w:t>
      </w:r>
    </w:p>
    <w:p w14:paraId="6D92E404">
      <w:pPr>
        <w:pStyle w:val="51"/>
        <w:spacing w:line="380" w:lineRule="exact"/>
        <w:ind w:firstLine="0" w:firstLineChars="0"/>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b/>
          <w:snapToGrid w:val="0"/>
          <w:color w:val="auto"/>
          <w:sz w:val="24"/>
          <w:szCs w:val="24"/>
          <w:highlight w:val="none"/>
          <w:u w:val="none" w:color="595959"/>
        </w:rPr>
        <w:t>　　十七、</w:t>
      </w:r>
      <w:r>
        <w:rPr>
          <w:rFonts w:hint="eastAsia" w:ascii="仿宋" w:hAnsi="仿宋" w:eastAsia="仿宋" w:cs="仿宋"/>
          <w:b/>
          <w:snapToGrid w:val="0"/>
          <w:color w:val="auto"/>
          <w:kern w:val="0"/>
          <w:sz w:val="24"/>
          <w:szCs w:val="24"/>
          <w:highlight w:val="none"/>
          <w:u w:val="none" w:color="595959"/>
        </w:rPr>
        <w:t>不可抗力</w:t>
      </w:r>
    </w:p>
    <w:p w14:paraId="2C4537EE">
      <w:pPr>
        <w:pStyle w:val="51"/>
        <w:spacing w:line="380" w:lineRule="exact"/>
        <w:ind w:firstLine="0" w:firstLineChars="0"/>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　　17.1当事人一方因不可抗力不能履行合同的，应当及时通知对方，并积极采取措施以减轻或消除可能给对方造成的损失，并在事件结束后7个自然日内提供事实性证明。</w:t>
      </w:r>
    </w:p>
    <w:p w14:paraId="5838442B">
      <w:pPr>
        <w:pStyle w:val="51"/>
        <w:spacing w:line="380" w:lineRule="exact"/>
        <w:ind w:firstLine="0" w:firstLineChars="0"/>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　　17.2因不可抗力不能履行合同的，根据不可抗力的影响，部分或者全部（由双方</w:t>
      </w:r>
    </w:p>
    <w:p w14:paraId="75E2FB57">
      <w:pPr>
        <w:pStyle w:val="51"/>
        <w:spacing w:line="380" w:lineRule="exact"/>
        <w:ind w:firstLine="0" w:firstLineChars="0"/>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协商确定）免除责任，但法律另有规定的除外。当事人迟延履行合同后发生不可抗力的，不能免除责任。</w:t>
      </w:r>
    </w:p>
    <w:p w14:paraId="3F8ED737">
      <w:pPr>
        <w:pStyle w:val="51"/>
        <w:spacing w:line="380" w:lineRule="exact"/>
        <w:ind w:firstLine="0" w:firstLineChars="0"/>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　　17.3因不可抗力使合同不能如期履行时，由双方协商确定是否延期履行或终止本</w:t>
      </w:r>
    </w:p>
    <w:p w14:paraId="039F61C1">
      <w:pPr>
        <w:pStyle w:val="51"/>
        <w:spacing w:line="380" w:lineRule="exact"/>
        <w:ind w:firstLine="0" w:firstLineChars="0"/>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合同。</w:t>
      </w:r>
    </w:p>
    <w:p w14:paraId="0DD10209">
      <w:pPr>
        <w:pStyle w:val="18"/>
        <w:snapToGrid w:val="0"/>
        <w:spacing w:line="380" w:lineRule="exact"/>
        <w:ind w:firstLine="354" w:firstLineChars="147"/>
        <w:rPr>
          <w:rFonts w:hint="eastAsia" w:ascii="仿宋" w:hAnsi="仿宋" w:eastAsia="仿宋" w:cs="仿宋"/>
          <w:b/>
          <w:snapToGrid w:val="0"/>
          <w:color w:val="auto"/>
          <w:sz w:val="24"/>
          <w:szCs w:val="24"/>
          <w:highlight w:val="none"/>
          <w:u w:val="none" w:color="595959"/>
        </w:rPr>
      </w:pPr>
      <w:r>
        <w:rPr>
          <w:rFonts w:hint="eastAsia" w:ascii="仿宋" w:hAnsi="仿宋" w:eastAsia="仿宋" w:cs="仿宋"/>
          <w:b/>
          <w:snapToGrid w:val="0"/>
          <w:color w:val="auto"/>
          <w:sz w:val="24"/>
          <w:szCs w:val="24"/>
          <w:highlight w:val="none"/>
          <w:u w:val="none" w:color="595959"/>
        </w:rPr>
        <w:t>十八、合同生效及其他</w:t>
      </w:r>
    </w:p>
    <w:p w14:paraId="6508EDC5">
      <w:pPr>
        <w:pStyle w:val="18"/>
        <w:snapToGrid w:val="0"/>
        <w:spacing w:line="380" w:lineRule="exact"/>
        <w:ind w:firstLine="352" w:firstLineChars="147"/>
        <w:rPr>
          <w:rFonts w:hint="eastAsia" w:ascii="仿宋" w:hAnsi="仿宋" w:eastAsia="仿宋" w:cs="仿宋"/>
          <w:b/>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18.1 合同经双方法定代表人或授权委托代表人签字并加盖单位公章后生效。</w:t>
      </w:r>
    </w:p>
    <w:p w14:paraId="43EAD3FF">
      <w:pPr>
        <w:pStyle w:val="18"/>
        <w:snapToGrid w:val="0"/>
        <w:spacing w:line="380" w:lineRule="exact"/>
        <w:ind w:firstLine="352" w:firstLineChars="147"/>
        <w:rPr>
          <w:rFonts w:hint="eastAsia" w:ascii="仿宋" w:hAnsi="仿宋" w:eastAsia="仿宋" w:cs="仿宋"/>
          <w:b/>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18.2 本合同未尽事宜，遵照国家合同相关法律法规执行。</w:t>
      </w:r>
    </w:p>
    <w:p w14:paraId="5931D8E1">
      <w:pPr>
        <w:spacing w:line="380" w:lineRule="exact"/>
        <w:jc w:val="left"/>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 xml:space="preserve">    18. 3 本合同一式六份，具有同等法律效力，中文书写。甲乙双方各执三份。</w:t>
      </w:r>
    </w:p>
    <w:p w14:paraId="1BFC9D21">
      <w:pPr>
        <w:pStyle w:val="18"/>
        <w:snapToGrid w:val="0"/>
        <w:spacing w:line="376" w:lineRule="exact"/>
        <w:ind w:firstLine="319" w:firstLineChars="133"/>
        <w:rPr>
          <w:rFonts w:hint="eastAsia" w:ascii="仿宋" w:hAnsi="仿宋" w:eastAsia="仿宋" w:cs="仿宋"/>
          <w:snapToGrid w:val="0"/>
          <w:color w:val="auto"/>
          <w:sz w:val="24"/>
          <w:szCs w:val="24"/>
          <w:highlight w:val="none"/>
          <w:u w:val="none" w:color="595959"/>
        </w:rPr>
      </w:pPr>
    </w:p>
    <w:p w14:paraId="1503E58A">
      <w:pPr>
        <w:pStyle w:val="18"/>
        <w:snapToGrid w:val="0"/>
        <w:spacing w:line="300" w:lineRule="exact"/>
        <w:ind w:firstLine="319" w:firstLineChars="133"/>
        <w:rPr>
          <w:rFonts w:hint="eastAsia" w:ascii="仿宋" w:hAnsi="仿宋" w:eastAsia="仿宋" w:cs="仿宋"/>
          <w:snapToGrid w:val="0"/>
          <w:color w:val="auto"/>
          <w:sz w:val="24"/>
          <w:szCs w:val="24"/>
          <w:highlight w:val="none"/>
          <w:u w:val="none" w:color="595959"/>
        </w:rPr>
      </w:pPr>
    </w:p>
    <w:p w14:paraId="0F5867CE">
      <w:pPr>
        <w:pStyle w:val="18"/>
        <w:snapToGrid w:val="0"/>
        <w:spacing w:line="300" w:lineRule="exact"/>
        <w:ind w:firstLine="319" w:firstLineChars="133"/>
        <w:rPr>
          <w:rFonts w:hint="eastAsia" w:ascii="仿宋" w:hAnsi="仿宋" w:eastAsia="仿宋" w:cs="仿宋"/>
          <w:snapToGrid w:val="0"/>
          <w:color w:val="auto"/>
          <w:sz w:val="24"/>
          <w:szCs w:val="24"/>
          <w:highlight w:val="none"/>
          <w:u w:val="none" w:color="595959"/>
        </w:rPr>
      </w:pPr>
    </w:p>
    <w:p w14:paraId="56ACD13D">
      <w:pPr>
        <w:pStyle w:val="18"/>
        <w:snapToGrid w:val="0"/>
        <w:spacing w:line="300" w:lineRule="exact"/>
        <w:ind w:firstLine="319" w:firstLineChars="133"/>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甲方（单位盖章）：                    乙方（单位盖章）：</w:t>
      </w:r>
    </w:p>
    <w:p w14:paraId="0F4FF482">
      <w:pPr>
        <w:pStyle w:val="18"/>
        <w:snapToGrid w:val="0"/>
        <w:spacing w:line="300" w:lineRule="exact"/>
        <w:ind w:firstLine="319" w:firstLineChars="133"/>
        <w:rPr>
          <w:rFonts w:hint="eastAsia" w:ascii="仿宋" w:hAnsi="仿宋" w:eastAsia="仿宋" w:cs="仿宋"/>
          <w:snapToGrid w:val="0"/>
          <w:color w:val="auto"/>
          <w:sz w:val="24"/>
          <w:szCs w:val="24"/>
          <w:highlight w:val="none"/>
          <w:u w:val="none" w:color="595959"/>
        </w:rPr>
      </w:pPr>
    </w:p>
    <w:p w14:paraId="58164421">
      <w:pPr>
        <w:pStyle w:val="18"/>
        <w:snapToGrid w:val="0"/>
        <w:spacing w:line="300" w:lineRule="exact"/>
        <w:ind w:firstLine="319" w:firstLineChars="133"/>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统一社会信用代码：                    统一社会信用代码：</w:t>
      </w:r>
    </w:p>
    <w:p w14:paraId="26E5CE46">
      <w:pPr>
        <w:pStyle w:val="18"/>
        <w:snapToGrid w:val="0"/>
        <w:spacing w:line="300" w:lineRule="exact"/>
        <w:ind w:firstLine="319" w:firstLineChars="133"/>
        <w:rPr>
          <w:rFonts w:hint="eastAsia" w:ascii="仿宋" w:hAnsi="仿宋" w:eastAsia="仿宋" w:cs="仿宋"/>
          <w:snapToGrid w:val="0"/>
          <w:color w:val="auto"/>
          <w:sz w:val="24"/>
          <w:szCs w:val="24"/>
          <w:highlight w:val="none"/>
          <w:u w:val="none" w:color="595959"/>
        </w:rPr>
      </w:pPr>
    </w:p>
    <w:p w14:paraId="2FB5B048">
      <w:pPr>
        <w:pStyle w:val="18"/>
        <w:snapToGrid w:val="0"/>
        <w:spacing w:line="300" w:lineRule="exact"/>
        <w:ind w:firstLine="319" w:firstLineChars="133"/>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单位住所地：                          单位住所地：</w:t>
      </w:r>
    </w:p>
    <w:p w14:paraId="5CF2D7E5">
      <w:pPr>
        <w:pStyle w:val="18"/>
        <w:snapToGrid w:val="0"/>
        <w:spacing w:line="300" w:lineRule="exact"/>
        <w:ind w:firstLine="319" w:firstLineChars="133"/>
        <w:rPr>
          <w:rFonts w:hint="eastAsia" w:ascii="仿宋" w:hAnsi="仿宋" w:eastAsia="仿宋" w:cs="仿宋"/>
          <w:snapToGrid w:val="0"/>
          <w:color w:val="auto"/>
          <w:sz w:val="24"/>
          <w:szCs w:val="24"/>
          <w:highlight w:val="none"/>
          <w:u w:val="none" w:color="595959"/>
        </w:rPr>
      </w:pPr>
    </w:p>
    <w:p w14:paraId="24ED192D">
      <w:pPr>
        <w:pStyle w:val="18"/>
        <w:snapToGrid w:val="0"/>
        <w:spacing w:line="300" w:lineRule="exact"/>
        <w:ind w:firstLine="319" w:firstLineChars="133"/>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法定代表人或授权代表：                法定代表人或授权代表：</w:t>
      </w:r>
    </w:p>
    <w:p w14:paraId="3B97798E">
      <w:pPr>
        <w:pStyle w:val="18"/>
        <w:snapToGrid w:val="0"/>
        <w:spacing w:line="300" w:lineRule="exact"/>
        <w:ind w:firstLine="319" w:firstLineChars="133"/>
        <w:rPr>
          <w:rFonts w:hint="eastAsia" w:ascii="仿宋" w:hAnsi="仿宋" w:eastAsia="仿宋" w:cs="仿宋"/>
          <w:snapToGrid w:val="0"/>
          <w:color w:val="auto"/>
          <w:sz w:val="24"/>
          <w:szCs w:val="24"/>
          <w:highlight w:val="none"/>
          <w:u w:val="none" w:color="595959"/>
        </w:rPr>
      </w:pPr>
    </w:p>
    <w:p w14:paraId="070F9E63">
      <w:pPr>
        <w:pStyle w:val="18"/>
        <w:snapToGrid w:val="0"/>
        <w:spacing w:line="300" w:lineRule="exact"/>
        <w:ind w:firstLine="319" w:firstLineChars="133"/>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联系电话：                            联系电话：</w:t>
      </w:r>
    </w:p>
    <w:p w14:paraId="2C7C28C1">
      <w:pPr>
        <w:pStyle w:val="18"/>
        <w:snapToGrid w:val="0"/>
        <w:spacing w:line="300" w:lineRule="exact"/>
        <w:ind w:left="3009" w:leftChars="133" w:hanging="2730" w:hangingChars="1300"/>
        <w:rPr>
          <w:rFonts w:hint="eastAsia" w:ascii="仿宋" w:hAnsi="仿宋" w:eastAsia="仿宋" w:cs="仿宋"/>
          <w:snapToGrid w:val="0"/>
          <w:color w:val="auto"/>
          <w:sz w:val="21"/>
          <w:highlight w:val="none"/>
          <w:u w:val="none" w:color="595959"/>
        </w:rPr>
      </w:pPr>
      <w:r>
        <w:rPr>
          <w:rFonts w:hint="eastAsia" w:ascii="仿宋" w:hAnsi="仿宋" w:eastAsia="仿宋" w:cs="仿宋"/>
          <w:snapToGrid w:val="0"/>
          <w:color w:val="auto"/>
          <w:sz w:val="21"/>
          <w:highlight w:val="none"/>
          <w:u w:val="none" w:color="595959"/>
        </w:rPr>
        <w:t xml:space="preserve">                                                                                   </w:t>
      </w:r>
    </w:p>
    <w:p w14:paraId="03119180">
      <w:pPr>
        <w:pStyle w:val="18"/>
        <w:snapToGrid w:val="0"/>
        <w:spacing w:line="300" w:lineRule="exact"/>
        <w:ind w:left="3399" w:leftChars="133" w:hanging="3120" w:hangingChars="1300"/>
        <w:rPr>
          <w:rFonts w:hint="eastAsia" w:ascii="仿宋" w:hAnsi="仿宋" w:eastAsia="仿宋" w:cs="仿宋"/>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签订日期：     年</w:t>
      </w:r>
      <w:r>
        <w:rPr>
          <w:rFonts w:hint="eastAsia" w:ascii="仿宋" w:hAnsi="仿宋" w:eastAsia="仿宋" w:cs="仿宋"/>
          <w:color w:val="auto"/>
          <w:sz w:val="24"/>
          <w:szCs w:val="24"/>
          <w:highlight w:val="none"/>
          <w:u w:val="none" w:color="595959"/>
        </w:rPr>
        <w:t xml:space="preserve">   月  日  　  </w:t>
      </w:r>
      <w:r>
        <w:rPr>
          <w:rFonts w:hint="eastAsia" w:ascii="仿宋" w:hAnsi="仿宋" w:eastAsia="仿宋" w:cs="仿宋"/>
          <w:snapToGrid w:val="0"/>
          <w:color w:val="auto"/>
          <w:sz w:val="24"/>
          <w:szCs w:val="24"/>
          <w:highlight w:val="none"/>
          <w:u w:val="none" w:color="595959"/>
        </w:rPr>
        <w:t>签订日期：      年</w:t>
      </w:r>
      <w:r>
        <w:rPr>
          <w:rFonts w:hint="eastAsia" w:ascii="仿宋" w:hAnsi="仿宋" w:eastAsia="仿宋" w:cs="仿宋"/>
          <w:color w:val="auto"/>
          <w:sz w:val="24"/>
          <w:szCs w:val="24"/>
          <w:highlight w:val="none"/>
          <w:u w:val="none" w:color="595959"/>
        </w:rPr>
        <w:t xml:space="preserve">   月  日</w:t>
      </w:r>
    </w:p>
    <w:p w14:paraId="4B2D2AEC">
      <w:pPr>
        <w:rPr>
          <w:rFonts w:ascii="仿宋" w:hAnsi="仿宋" w:eastAsia="仿宋" w:cs="仿宋"/>
          <w:bCs/>
          <w:color w:val="auto"/>
          <w:sz w:val="44"/>
          <w:highlight w:val="none"/>
        </w:rPr>
        <w:sectPr>
          <w:headerReference r:id="rId7" w:type="default"/>
          <w:footerReference r:id="rId8" w:type="default"/>
          <w:pgSz w:w="11906" w:h="16838"/>
          <w:pgMar w:top="1440" w:right="1080" w:bottom="1440" w:left="1080" w:header="851" w:footer="907" w:gutter="0"/>
          <w:pgNumType w:fmt="decimal" w:start="1"/>
          <w:cols w:space="720" w:num="1"/>
          <w:docGrid w:linePitch="360" w:charSpace="0"/>
        </w:sectPr>
      </w:pPr>
      <w:r>
        <w:rPr>
          <w:rFonts w:hint="eastAsia" w:ascii="仿宋" w:hAnsi="仿宋" w:eastAsia="仿宋" w:cs="仿宋"/>
          <w:bCs/>
          <w:color w:val="auto"/>
          <w:sz w:val="44"/>
          <w:highlight w:val="none"/>
        </w:rPr>
        <w:br w:type="page" w:clear="all"/>
      </w:r>
    </w:p>
    <w:p w14:paraId="2BEF60B9">
      <w:pPr>
        <w:pStyle w:val="18"/>
        <w:snapToGrid w:val="0"/>
        <w:spacing w:line="380" w:lineRule="exact"/>
        <w:rPr>
          <w:rFonts w:hint="default" w:ascii="仿宋" w:hAnsi="仿宋" w:eastAsia="仿宋" w:cs="仿宋"/>
          <w:b/>
          <w:bCs/>
          <w:snapToGrid w:val="0"/>
          <w:color w:val="auto"/>
          <w:sz w:val="24"/>
          <w:szCs w:val="24"/>
          <w:highlight w:val="none"/>
          <w:u w:val="none" w:color="595959"/>
          <w:lang w:val="en-US" w:eastAsia="zh-CN"/>
        </w:rPr>
      </w:pPr>
      <w:r>
        <w:rPr>
          <w:rFonts w:hint="eastAsia" w:ascii="仿宋" w:hAnsi="仿宋" w:eastAsia="仿宋" w:cs="仿宋"/>
          <w:b/>
          <w:bCs/>
          <w:snapToGrid w:val="0"/>
          <w:color w:val="auto"/>
          <w:sz w:val="24"/>
          <w:szCs w:val="24"/>
          <w:highlight w:val="none"/>
          <w:u w:val="none" w:color="595959"/>
          <w:lang w:val="en-US" w:eastAsia="zh-CN"/>
        </w:rPr>
        <w:t>分包二合同：长三角高速跨区域路网管控辅助服务</w:t>
      </w:r>
    </w:p>
    <w:p w14:paraId="07F37B50">
      <w:pPr>
        <w:pStyle w:val="18"/>
        <w:snapToGrid w:val="0"/>
        <w:spacing w:line="380" w:lineRule="exact"/>
        <w:rPr>
          <w:rFonts w:hint="eastAsia" w:ascii="仿宋" w:hAnsi="仿宋" w:eastAsia="仿宋" w:cs="仿宋"/>
          <w:b/>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甲、乙双方根据</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single" w:color="595959"/>
          <w:lang w:val="en-US" w:eastAsia="zh-CN"/>
        </w:rPr>
        <w:t>江苏柒采招标代理有限公司</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single" w:color="595959"/>
          <w:lang w:eastAsia="zh-CN"/>
        </w:rPr>
        <w:t>（</w:t>
      </w:r>
      <w:r>
        <w:rPr>
          <w:rFonts w:hint="eastAsia" w:ascii="仿宋" w:hAnsi="仿宋" w:eastAsia="仿宋" w:cs="仿宋"/>
          <w:snapToGrid w:val="0"/>
          <w:color w:val="auto"/>
          <w:sz w:val="24"/>
          <w:szCs w:val="24"/>
          <w:highlight w:val="none"/>
          <w:u w:val="none" w:color="595959"/>
        </w:rPr>
        <w:t>委托代理机构</w:t>
      </w:r>
      <w:r>
        <w:rPr>
          <w:rFonts w:hint="eastAsia" w:ascii="仿宋" w:hAnsi="仿宋" w:eastAsia="仿宋" w:cs="仿宋"/>
          <w:snapToGrid w:val="0"/>
          <w:color w:val="auto"/>
          <w:sz w:val="24"/>
          <w:szCs w:val="24"/>
          <w:highlight w:val="none"/>
          <w:u w:val="none" w:color="595959"/>
          <w:lang w:eastAsia="zh-CN"/>
        </w:rPr>
        <w:t>）</w:t>
      </w:r>
      <w:r>
        <w:rPr>
          <w:rFonts w:hint="eastAsia" w:ascii="仿宋" w:hAnsi="仿宋" w:eastAsia="仿宋" w:cs="仿宋"/>
          <w:snapToGrid w:val="0"/>
          <w:color w:val="auto"/>
          <w:sz w:val="24"/>
          <w:szCs w:val="24"/>
          <w:highlight w:val="none"/>
          <w:u w:val="none" w:color="595959"/>
        </w:rPr>
        <w:t>项目</w:t>
      </w:r>
      <w:r>
        <w:rPr>
          <w:rFonts w:hint="eastAsia" w:ascii="仿宋" w:hAnsi="仿宋" w:eastAsia="仿宋" w:cs="仿宋"/>
          <w:snapToGrid w:val="0"/>
          <w:color w:val="auto"/>
          <w:sz w:val="24"/>
          <w:szCs w:val="24"/>
          <w:highlight w:val="none"/>
          <w:u w:val="none" w:color="595959"/>
          <w:lang w:eastAsia="zh-CN"/>
        </w:rPr>
        <w:t>（</w:t>
      </w:r>
      <w:r>
        <w:rPr>
          <w:rFonts w:hint="eastAsia" w:ascii="仿宋" w:hAnsi="仿宋" w:eastAsia="仿宋" w:cs="仿宋"/>
          <w:snapToGrid w:val="0"/>
          <w:color w:val="auto"/>
          <w:sz w:val="24"/>
          <w:szCs w:val="24"/>
          <w:highlight w:val="none"/>
          <w:u w:val="single" w:color="auto"/>
          <w:lang w:eastAsia="zh-CN"/>
        </w:rPr>
        <w:t>高速公路交通情况统计调查、路网运行监测与管控辅助服务</w:t>
      </w:r>
      <w:r>
        <w:rPr>
          <w:rFonts w:hint="eastAsia" w:ascii="仿宋" w:hAnsi="仿宋" w:eastAsia="仿宋" w:cs="仿宋"/>
          <w:color w:val="auto"/>
          <w:sz w:val="24"/>
          <w:highlight w:val="none"/>
          <w:u w:val="single"/>
          <w:lang w:eastAsia="zh-CN"/>
        </w:rPr>
        <w:t>）</w:t>
      </w:r>
      <w:r>
        <w:rPr>
          <w:rFonts w:hint="eastAsia" w:ascii="仿宋" w:hAnsi="仿宋" w:eastAsia="仿宋" w:cs="仿宋"/>
          <w:color w:val="auto"/>
          <w:sz w:val="24"/>
          <w:highlight w:val="none"/>
        </w:rPr>
        <w:sym w:font="Wingdings 2" w:char="0052"/>
      </w:r>
      <w:r>
        <w:rPr>
          <w:rFonts w:hint="eastAsia" w:ascii="仿宋" w:hAnsi="仿宋" w:eastAsia="仿宋" w:cs="仿宋"/>
          <w:snapToGrid w:val="0"/>
          <w:color w:val="auto"/>
          <w:sz w:val="24"/>
          <w:szCs w:val="24"/>
          <w:highlight w:val="none"/>
          <w:u w:val="none" w:color="595959"/>
        </w:rPr>
        <w:t>公开招标</w:t>
      </w:r>
      <w:r>
        <w:rPr>
          <w:rFonts w:hint="eastAsia" w:ascii="仿宋" w:hAnsi="仿宋" w:eastAsia="仿宋" w:cs="仿宋"/>
          <w:color w:val="auto"/>
          <w:spacing w:val="-20"/>
          <w:sz w:val="24"/>
          <w:szCs w:val="24"/>
          <w:highlight w:val="none"/>
          <w:u w:val="none" w:color="595959"/>
        </w:rPr>
        <w:t>☐</w:t>
      </w:r>
      <w:r>
        <w:rPr>
          <w:rFonts w:hint="eastAsia" w:ascii="仿宋" w:hAnsi="仿宋" w:eastAsia="仿宋" w:cs="仿宋"/>
          <w:snapToGrid w:val="0"/>
          <w:color w:val="auto"/>
          <w:sz w:val="24"/>
          <w:szCs w:val="24"/>
          <w:highlight w:val="none"/>
          <w:u w:val="none" w:color="595959"/>
        </w:rPr>
        <w:t>竞争性谈判</w:t>
      </w:r>
      <w:r>
        <w:rPr>
          <w:rFonts w:hint="eastAsia" w:ascii="仿宋" w:hAnsi="仿宋" w:eastAsia="仿宋" w:cs="仿宋"/>
          <w:color w:val="auto"/>
          <w:spacing w:val="-20"/>
          <w:sz w:val="24"/>
          <w:szCs w:val="24"/>
          <w:highlight w:val="none"/>
          <w:u w:val="none" w:color="595959"/>
        </w:rPr>
        <w:t>☐</w:t>
      </w:r>
      <w:r>
        <w:rPr>
          <w:rFonts w:hint="eastAsia" w:ascii="仿宋" w:hAnsi="仿宋" w:eastAsia="仿宋" w:cs="仿宋"/>
          <w:snapToGrid w:val="0"/>
          <w:color w:val="auto"/>
          <w:sz w:val="24"/>
          <w:szCs w:val="24"/>
          <w:highlight w:val="none"/>
          <w:u w:val="none" w:color="595959"/>
        </w:rPr>
        <w:t>竞争性磋商</w:t>
      </w:r>
      <w:r>
        <w:rPr>
          <w:rFonts w:hint="eastAsia" w:ascii="仿宋" w:hAnsi="仿宋" w:eastAsia="仿宋" w:cs="仿宋"/>
          <w:color w:val="auto"/>
          <w:spacing w:val="-20"/>
          <w:sz w:val="24"/>
          <w:szCs w:val="24"/>
          <w:highlight w:val="none"/>
          <w:u w:val="none" w:color="595959"/>
        </w:rPr>
        <w:t>☐</w:t>
      </w:r>
      <w:r>
        <w:rPr>
          <w:rFonts w:hint="eastAsia" w:ascii="仿宋" w:hAnsi="仿宋" w:eastAsia="仿宋" w:cs="仿宋"/>
          <w:snapToGrid w:val="0"/>
          <w:color w:val="auto"/>
          <w:sz w:val="24"/>
          <w:szCs w:val="24"/>
          <w:highlight w:val="none"/>
          <w:u w:val="none" w:color="595959"/>
        </w:rPr>
        <w:t>单一来源谈判</w:t>
      </w:r>
      <w:r>
        <w:rPr>
          <w:rFonts w:hint="eastAsia" w:ascii="仿宋" w:hAnsi="仿宋" w:eastAsia="仿宋" w:cs="仿宋"/>
          <w:color w:val="auto"/>
          <w:spacing w:val="-20"/>
          <w:sz w:val="24"/>
          <w:szCs w:val="24"/>
          <w:highlight w:val="none"/>
          <w:u w:val="none" w:color="595959"/>
        </w:rPr>
        <w:t>☐</w:t>
      </w:r>
      <w:r>
        <w:rPr>
          <w:rFonts w:hint="eastAsia" w:ascii="仿宋" w:hAnsi="仿宋" w:eastAsia="仿宋" w:cs="仿宋"/>
          <w:snapToGrid w:val="0"/>
          <w:color w:val="auto"/>
          <w:sz w:val="24"/>
          <w:szCs w:val="24"/>
          <w:highlight w:val="none"/>
          <w:u w:val="none" w:color="595959"/>
        </w:rPr>
        <w:t>询价采购的结果，签署本合同。</w:t>
      </w:r>
    </w:p>
    <w:p w14:paraId="4ADE1055">
      <w:pPr>
        <w:pStyle w:val="18"/>
        <w:snapToGrid w:val="0"/>
        <w:spacing w:line="380" w:lineRule="exact"/>
        <w:ind w:firstLine="354" w:firstLineChars="147"/>
        <w:rPr>
          <w:rFonts w:hint="eastAsia" w:ascii="仿宋" w:hAnsi="仿宋" w:eastAsia="仿宋" w:cs="仿宋"/>
          <w:b/>
          <w:snapToGrid w:val="0"/>
          <w:color w:val="auto"/>
          <w:sz w:val="24"/>
          <w:szCs w:val="24"/>
          <w:highlight w:val="none"/>
          <w:u w:val="none" w:color="595959"/>
          <w:lang w:eastAsia="zh-CN"/>
        </w:rPr>
      </w:pPr>
      <w:r>
        <w:rPr>
          <w:rFonts w:hint="eastAsia" w:ascii="仿宋" w:hAnsi="仿宋" w:eastAsia="仿宋" w:cs="仿宋"/>
          <w:b/>
          <w:snapToGrid w:val="0"/>
          <w:color w:val="auto"/>
          <w:sz w:val="24"/>
          <w:szCs w:val="24"/>
          <w:highlight w:val="none"/>
          <w:u w:val="none" w:color="595959"/>
        </w:rPr>
        <w:t>一、采购标的</w:t>
      </w:r>
    </w:p>
    <w:p w14:paraId="4E80E4A6">
      <w:pPr>
        <w:pStyle w:val="18"/>
        <w:snapToGrid w:val="0"/>
        <w:spacing w:line="380" w:lineRule="exact"/>
        <w:ind w:firstLine="360" w:firstLineChars="150"/>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1.1 服务名称</w:t>
      </w:r>
    </w:p>
    <w:p w14:paraId="1D48BF6B">
      <w:pPr>
        <w:pStyle w:val="18"/>
        <w:snapToGrid w:val="0"/>
        <w:spacing w:line="380" w:lineRule="exact"/>
        <w:rPr>
          <w:rFonts w:hint="eastAsia" w:ascii="仿宋" w:hAnsi="仿宋" w:eastAsia="仿宋" w:cs="仿宋"/>
          <w:b/>
          <w:bCs/>
          <w:snapToGrid w:val="0"/>
          <w:color w:val="auto"/>
          <w:sz w:val="24"/>
          <w:szCs w:val="24"/>
          <w:highlight w:val="none"/>
          <w:u w:val="single" w:color="auto"/>
          <w:lang w:val="en-US" w:eastAsia="zh-CN"/>
        </w:rPr>
      </w:pPr>
      <w:r>
        <w:rPr>
          <w:rFonts w:hint="eastAsia" w:ascii="仿宋" w:hAnsi="仿宋" w:eastAsia="仿宋" w:cs="仿宋"/>
          <w:b/>
          <w:bCs/>
          <w:snapToGrid w:val="0"/>
          <w:color w:val="auto"/>
          <w:sz w:val="24"/>
          <w:szCs w:val="24"/>
          <w:highlight w:val="none"/>
          <w:u w:val="single" w:color="auto"/>
          <w:lang w:val="en-US" w:eastAsia="zh-CN"/>
        </w:rPr>
        <w:t xml:space="preserve">长三角高速跨区域路网管控辅助服务  </w:t>
      </w:r>
    </w:p>
    <w:p w14:paraId="7976ABCB">
      <w:pPr>
        <w:pStyle w:val="18"/>
        <w:snapToGrid w:val="0"/>
        <w:spacing w:line="380" w:lineRule="exact"/>
        <w:ind w:firstLine="360" w:firstLineChars="150"/>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1.2 服务范围、内容及服务要求</w:t>
      </w:r>
    </w:p>
    <w:p w14:paraId="4074B050">
      <w:pPr>
        <w:pStyle w:val="18"/>
        <w:snapToGrid w:val="0"/>
        <w:spacing w:line="380" w:lineRule="exact"/>
        <w:jc w:val="left"/>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single" w:color="595959"/>
          <w:lang w:val="en-US" w:eastAsia="zh-CN"/>
        </w:rPr>
        <w:t>详见招标文件采购需求</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none" w:color="595959"/>
        </w:rPr>
        <w:t xml:space="preserve"> </w:t>
      </w:r>
    </w:p>
    <w:p w14:paraId="103DB5FC">
      <w:pPr>
        <w:pStyle w:val="18"/>
        <w:snapToGrid w:val="0"/>
        <w:spacing w:line="380" w:lineRule="exact"/>
        <w:ind w:firstLine="480"/>
        <w:jc w:val="left"/>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1.3 服务期限按照第</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single" w:color="595959"/>
          <w:lang w:eastAsia="zh-CN"/>
        </w:rPr>
        <w:t>（</w:t>
      </w:r>
      <w:r>
        <w:rPr>
          <w:rFonts w:hint="eastAsia" w:ascii="仿宋" w:hAnsi="仿宋" w:eastAsia="仿宋" w:cs="仿宋"/>
          <w:snapToGrid w:val="0"/>
          <w:color w:val="auto"/>
          <w:sz w:val="24"/>
          <w:szCs w:val="24"/>
          <w:highlight w:val="none"/>
          <w:u w:val="single" w:color="595959"/>
          <w:lang w:val="en-US" w:eastAsia="zh-CN"/>
        </w:rPr>
        <w:t>2</w:t>
      </w:r>
      <w:r>
        <w:rPr>
          <w:rFonts w:hint="eastAsia" w:ascii="仿宋" w:hAnsi="仿宋" w:eastAsia="仿宋" w:cs="仿宋"/>
          <w:snapToGrid w:val="0"/>
          <w:color w:val="auto"/>
          <w:sz w:val="24"/>
          <w:szCs w:val="24"/>
          <w:highlight w:val="none"/>
          <w:u w:val="single" w:color="595959"/>
          <w:lang w:eastAsia="zh-CN"/>
        </w:rPr>
        <w:t>）</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none" w:color="595959"/>
        </w:rPr>
        <w:t>种方式明确</w:t>
      </w:r>
    </w:p>
    <w:p w14:paraId="182C2A7C">
      <w:pPr>
        <w:pStyle w:val="18"/>
        <w:snapToGrid w:val="0"/>
        <w:spacing w:line="380" w:lineRule="exact"/>
        <w:ind w:firstLine="480"/>
        <w:jc w:val="left"/>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（1）本合同服务期限自</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none" w:color="595959"/>
        </w:rPr>
        <w:t>年</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none" w:color="595959"/>
        </w:rPr>
        <w:t>月</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none" w:color="595959"/>
        </w:rPr>
        <w:t>日起，至</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none" w:color="595959"/>
        </w:rPr>
        <w:t>年</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none" w:color="595959"/>
        </w:rPr>
        <w:t>月</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none" w:color="595959"/>
        </w:rPr>
        <w:t>日止。</w:t>
      </w:r>
    </w:p>
    <w:p w14:paraId="1332CF42">
      <w:pPr>
        <w:pStyle w:val="18"/>
        <w:snapToGrid w:val="0"/>
        <w:spacing w:line="380" w:lineRule="exact"/>
        <w:ind w:firstLine="480"/>
        <w:jc w:val="left"/>
        <w:rPr>
          <w:rFonts w:hint="eastAsia" w:ascii="仿宋" w:hAnsi="仿宋" w:eastAsia="仿宋" w:cs="仿宋"/>
          <w:color w:val="auto"/>
          <w:sz w:val="30"/>
          <w:szCs w:val="30"/>
          <w:highlight w:val="none"/>
        </w:rPr>
      </w:pPr>
      <w:r>
        <w:rPr>
          <w:rFonts w:hint="eastAsia" w:ascii="仿宋" w:hAnsi="仿宋" w:eastAsia="仿宋" w:cs="仿宋"/>
          <w:snapToGrid w:val="0"/>
          <w:color w:val="auto"/>
          <w:sz w:val="24"/>
          <w:szCs w:val="24"/>
          <w:highlight w:val="none"/>
          <w:u w:val="none" w:color="595959"/>
        </w:rPr>
        <w:t xml:space="preserve">（2）本合同服务期限自签订合同之日起，至 </w:t>
      </w:r>
      <w:r>
        <w:rPr>
          <w:rFonts w:hint="eastAsia" w:ascii="仿宋" w:hAnsi="仿宋" w:eastAsia="仿宋" w:cs="仿宋"/>
          <w:snapToGrid w:val="0"/>
          <w:color w:val="auto"/>
          <w:sz w:val="24"/>
          <w:szCs w:val="24"/>
          <w:highlight w:val="none"/>
          <w:u w:val="single" w:color="auto"/>
          <w:lang w:val="en-US" w:eastAsia="zh-CN"/>
        </w:rPr>
        <w:t xml:space="preserve"> 2026 </w:t>
      </w:r>
      <w:r>
        <w:rPr>
          <w:rFonts w:hint="eastAsia" w:ascii="仿宋" w:hAnsi="仿宋" w:eastAsia="仿宋" w:cs="仿宋"/>
          <w:snapToGrid w:val="0"/>
          <w:color w:val="auto"/>
          <w:sz w:val="24"/>
          <w:szCs w:val="24"/>
          <w:highlight w:val="none"/>
          <w:u w:val="none" w:color="595959"/>
        </w:rPr>
        <w:t xml:space="preserve"> 年</w:t>
      </w:r>
      <w:r>
        <w:rPr>
          <w:rFonts w:hint="eastAsia" w:ascii="仿宋" w:hAnsi="仿宋" w:eastAsia="仿宋" w:cs="仿宋"/>
          <w:snapToGrid w:val="0"/>
          <w:color w:val="auto"/>
          <w:sz w:val="24"/>
          <w:szCs w:val="24"/>
          <w:highlight w:val="none"/>
          <w:u w:val="single" w:color="auto"/>
        </w:rPr>
        <w:t xml:space="preserve"> </w:t>
      </w:r>
      <w:r>
        <w:rPr>
          <w:rFonts w:hint="eastAsia" w:ascii="仿宋" w:hAnsi="仿宋" w:eastAsia="仿宋" w:cs="仿宋"/>
          <w:snapToGrid w:val="0"/>
          <w:color w:val="auto"/>
          <w:sz w:val="24"/>
          <w:szCs w:val="24"/>
          <w:highlight w:val="none"/>
          <w:u w:val="single" w:color="auto"/>
          <w:lang w:val="en-US" w:eastAsia="zh-CN"/>
        </w:rPr>
        <w:t>11</w:t>
      </w:r>
      <w:r>
        <w:rPr>
          <w:rFonts w:hint="eastAsia" w:ascii="仿宋" w:hAnsi="仿宋" w:eastAsia="仿宋" w:cs="仿宋"/>
          <w:snapToGrid w:val="0"/>
          <w:color w:val="auto"/>
          <w:sz w:val="24"/>
          <w:szCs w:val="24"/>
          <w:highlight w:val="none"/>
          <w:u w:val="single" w:color="auto"/>
        </w:rPr>
        <w:t xml:space="preserve"> </w:t>
      </w:r>
      <w:r>
        <w:rPr>
          <w:rFonts w:hint="eastAsia" w:ascii="仿宋" w:hAnsi="仿宋" w:eastAsia="仿宋" w:cs="仿宋"/>
          <w:snapToGrid w:val="0"/>
          <w:color w:val="auto"/>
          <w:sz w:val="24"/>
          <w:szCs w:val="24"/>
          <w:highlight w:val="none"/>
          <w:u w:val="none" w:color="595959"/>
        </w:rPr>
        <w:t>月</w:t>
      </w:r>
      <w:r>
        <w:rPr>
          <w:rFonts w:hint="eastAsia" w:ascii="仿宋" w:hAnsi="仿宋" w:eastAsia="仿宋" w:cs="仿宋"/>
          <w:snapToGrid w:val="0"/>
          <w:color w:val="auto"/>
          <w:sz w:val="24"/>
          <w:szCs w:val="24"/>
          <w:highlight w:val="none"/>
          <w:u w:val="single" w:color="auto"/>
        </w:rPr>
        <w:t xml:space="preserve"> </w:t>
      </w:r>
      <w:r>
        <w:rPr>
          <w:rFonts w:hint="eastAsia" w:ascii="仿宋" w:hAnsi="仿宋" w:eastAsia="仿宋" w:cs="仿宋"/>
          <w:snapToGrid w:val="0"/>
          <w:color w:val="auto"/>
          <w:sz w:val="24"/>
          <w:szCs w:val="24"/>
          <w:highlight w:val="none"/>
          <w:u w:val="single" w:color="auto"/>
          <w:lang w:val="en-US" w:eastAsia="zh-CN"/>
        </w:rPr>
        <w:t>30</w:t>
      </w:r>
      <w:r>
        <w:rPr>
          <w:rFonts w:hint="eastAsia" w:ascii="仿宋" w:hAnsi="仿宋" w:eastAsia="仿宋" w:cs="仿宋"/>
          <w:snapToGrid w:val="0"/>
          <w:color w:val="auto"/>
          <w:sz w:val="24"/>
          <w:szCs w:val="24"/>
          <w:highlight w:val="none"/>
          <w:u w:val="single" w:color="auto"/>
        </w:rPr>
        <w:t xml:space="preserve"> </w:t>
      </w:r>
      <w:r>
        <w:rPr>
          <w:rFonts w:hint="eastAsia" w:ascii="仿宋" w:hAnsi="仿宋" w:eastAsia="仿宋" w:cs="仿宋"/>
          <w:snapToGrid w:val="0"/>
          <w:color w:val="auto"/>
          <w:sz w:val="24"/>
          <w:szCs w:val="24"/>
          <w:highlight w:val="none"/>
          <w:u w:val="none" w:color="595959"/>
        </w:rPr>
        <w:t>日止。</w:t>
      </w:r>
    </w:p>
    <w:p w14:paraId="64CC2045">
      <w:pPr>
        <w:pStyle w:val="18"/>
        <w:snapToGrid w:val="0"/>
        <w:spacing w:line="380" w:lineRule="exact"/>
        <w:ind w:firstLine="480"/>
        <w:jc w:val="left"/>
        <w:rPr>
          <w:rFonts w:hint="eastAsia" w:ascii="仿宋" w:hAnsi="仿宋" w:eastAsia="仿宋" w:cs="仿宋"/>
          <w:snapToGrid w:val="0"/>
          <w:color w:val="auto"/>
          <w:sz w:val="24"/>
          <w:szCs w:val="24"/>
          <w:highlight w:val="none"/>
          <w:u w:val="single" w:color="595959"/>
        </w:rPr>
      </w:pPr>
      <w:r>
        <w:rPr>
          <w:rFonts w:hint="eastAsia" w:ascii="仿宋" w:hAnsi="仿宋" w:eastAsia="仿宋" w:cs="仿宋"/>
          <w:snapToGrid w:val="0"/>
          <w:color w:val="auto"/>
          <w:sz w:val="24"/>
          <w:szCs w:val="24"/>
          <w:highlight w:val="none"/>
          <w:u w:val="none" w:color="595959"/>
        </w:rPr>
        <w:t>（3）本合同服务期限自</w:t>
      </w:r>
      <w:r>
        <w:rPr>
          <w:rFonts w:hint="eastAsia" w:ascii="仿宋" w:hAnsi="仿宋" w:eastAsia="仿宋" w:cs="仿宋"/>
          <w:snapToGrid w:val="0"/>
          <w:color w:val="auto"/>
          <w:sz w:val="24"/>
          <w:szCs w:val="24"/>
          <w:highlight w:val="none"/>
          <w:u w:val="single"/>
        </w:rPr>
        <w:t xml:space="preserve">     </w:t>
      </w:r>
      <w:r>
        <w:rPr>
          <w:rFonts w:hint="eastAsia" w:ascii="仿宋" w:hAnsi="仿宋" w:eastAsia="仿宋" w:cs="仿宋"/>
          <w:snapToGrid w:val="0"/>
          <w:color w:val="auto"/>
          <w:sz w:val="24"/>
          <w:szCs w:val="24"/>
          <w:highlight w:val="none"/>
          <w:u w:val="none" w:color="595959"/>
        </w:rPr>
        <w:t>年</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none" w:color="595959"/>
        </w:rPr>
        <w:t>月</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none" w:color="595959"/>
        </w:rPr>
        <w:t>日起，至</w:t>
      </w:r>
      <w:r>
        <w:rPr>
          <w:rFonts w:hint="eastAsia" w:ascii="仿宋" w:hAnsi="仿宋" w:eastAsia="仿宋" w:cs="仿宋"/>
          <w:snapToGrid w:val="0"/>
          <w:color w:val="auto"/>
          <w:sz w:val="24"/>
          <w:szCs w:val="24"/>
          <w:highlight w:val="none"/>
          <w:u w:val="single"/>
        </w:rPr>
        <w:t xml:space="preserve">              </w:t>
      </w:r>
      <w:r>
        <w:rPr>
          <w:rFonts w:hint="eastAsia" w:ascii="仿宋" w:hAnsi="仿宋" w:eastAsia="仿宋" w:cs="仿宋"/>
          <w:snapToGrid w:val="0"/>
          <w:color w:val="auto"/>
          <w:sz w:val="24"/>
          <w:szCs w:val="24"/>
          <w:highlight w:val="none"/>
          <w:u w:val="none" w:color="595959"/>
        </w:rPr>
        <w:t>止。</w:t>
      </w:r>
    </w:p>
    <w:p w14:paraId="4B0D7AF3">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1.4服务地点（域）</w:t>
      </w:r>
    </w:p>
    <w:p w14:paraId="741CB6A4">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本合同约定的服务地点（域）：</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single" w:color="595959"/>
          <w:lang w:val="en-US" w:eastAsia="zh-CN"/>
        </w:rPr>
        <w:t>江苏省</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none" w:color="595959"/>
        </w:rPr>
        <w:t xml:space="preserve">。                                                               </w:t>
      </w:r>
    </w:p>
    <w:p w14:paraId="3F1C089E">
      <w:pPr>
        <w:pStyle w:val="18"/>
        <w:snapToGrid w:val="0"/>
        <w:spacing w:line="380" w:lineRule="exact"/>
        <w:ind w:firstLine="354" w:firstLineChars="147"/>
        <w:rPr>
          <w:rFonts w:hint="eastAsia" w:ascii="仿宋" w:hAnsi="仿宋" w:eastAsia="仿宋" w:cs="仿宋"/>
          <w:b/>
          <w:snapToGrid w:val="0"/>
          <w:color w:val="auto"/>
          <w:sz w:val="24"/>
          <w:szCs w:val="24"/>
          <w:highlight w:val="none"/>
          <w:u w:val="none" w:color="595959"/>
        </w:rPr>
      </w:pPr>
      <w:r>
        <w:rPr>
          <w:rFonts w:hint="eastAsia" w:ascii="仿宋" w:hAnsi="仿宋" w:eastAsia="仿宋" w:cs="仿宋"/>
          <w:b/>
          <w:snapToGrid w:val="0"/>
          <w:color w:val="auto"/>
          <w:sz w:val="24"/>
          <w:szCs w:val="24"/>
          <w:highlight w:val="none"/>
          <w:u w:val="none" w:color="595959"/>
        </w:rPr>
        <w:t>二、合同金额</w:t>
      </w:r>
    </w:p>
    <w:p w14:paraId="6DEFE8B4">
      <w:pPr>
        <w:pStyle w:val="18"/>
        <w:snapToGrid w:val="0"/>
        <w:spacing w:line="380" w:lineRule="exact"/>
        <w:ind w:firstLine="352" w:firstLineChars="147"/>
        <w:rPr>
          <w:rFonts w:hint="eastAsia" w:ascii="仿宋" w:hAnsi="仿宋" w:eastAsia="仿宋" w:cs="仿宋"/>
          <w:snapToGrid w:val="0"/>
          <w:color w:val="auto"/>
          <w:sz w:val="24"/>
          <w:szCs w:val="24"/>
          <w:highlight w:val="none"/>
          <w:u w:val="single" w:color="595959"/>
        </w:rPr>
      </w:pPr>
      <w:r>
        <w:rPr>
          <w:rFonts w:hint="eastAsia" w:ascii="仿宋" w:hAnsi="仿宋" w:eastAsia="仿宋" w:cs="仿宋"/>
          <w:snapToGrid w:val="0"/>
          <w:color w:val="auto"/>
          <w:sz w:val="24"/>
          <w:szCs w:val="24"/>
          <w:highlight w:val="none"/>
          <w:u w:val="none" w:color="595959"/>
        </w:rPr>
        <w:t>2.1本合同金额按照第</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single" w:color="595959"/>
          <w:lang w:eastAsia="zh-CN"/>
        </w:rPr>
        <w:t>（</w:t>
      </w:r>
      <w:r>
        <w:rPr>
          <w:rFonts w:hint="eastAsia" w:ascii="仿宋" w:hAnsi="仿宋" w:eastAsia="仿宋" w:cs="仿宋"/>
          <w:snapToGrid w:val="0"/>
          <w:color w:val="auto"/>
          <w:sz w:val="24"/>
          <w:szCs w:val="24"/>
          <w:highlight w:val="none"/>
          <w:u w:val="single" w:color="595959"/>
          <w:lang w:val="en-US" w:eastAsia="zh-CN"/>
        </w:rPr>
        <w:t>1</w:t>
      </w:r>
      <w:r>
        <w:rPr>
          <w:rFonts w:hint="eastAsia" w:ascii="仿宋" w:hAnsi="仿宋" w:eastAsia="仿宋" w:cs="仿宋"/>
          <w:snapToGrid w:val="0"/>
          <w:color w:val="auto"/>
          <w:sz w:val="24"/>
          <w:szCs w:val="24"/>
          <w:highlight w:val="none"/>
          <w:u w:val="single" w:color="595959"/>
          <w:lang w:eastAsia="zh-CN"/>
        </w:rPr>
        <w:t>）</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none" w:color="595959"/>
        </w:rPr>
        <w:t>种方式明确：</w:t>
      </w:r>
    </w:p>
    <w:p w14:paraId="2E4D3170">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(1)本合同为固定总价合同，合同金额（含税）为人民币</w:t>
      </w:r>
      <w:r>
        <w:rPr>
          <w:rFonts w:hint="eastAsia" w:ascii="仿宋" w:hAnsi="仿宋" w:eastAsia="仿宋" w:cs="仿宋"/>
          <w:snapToGrid w:val="0"/>
          <w:color w:val="auto"/>
          <w:sz w:val="24"/>
          <w:szCs w:val="24"/>
          <w:highlight w:val="none"/>
          <w:u w:val="single"/>
        </w:rPr>
        <w:t xml:space="preserve">         </w:t>
      </w:r>
      <w:r>
        <w:rPr>
          <w:rFonts w:hint="eastAsia" w:ascii="仿宋" w:hAnsi="仿宋" w:eastAsia="仿宋" w:cs="仿宋"/>
          <w:snapToGrid w:val="0"/>
          <w:color w:val="auto"/>
          <w:sz w:val="24"/>
          <w:szCs w:val="24"/>
          <w:highlight w:val="none"/>
          <w:u w:val="none" w:color="595959"/>
        </w:rPr>
        <w:t>整，（￥</w:t>
      </w:r>
      <w:r>
        <w:rPr>
          <w:rFonts w:hint="eastAsia" w:ascii="仿宋" w:hAnsi="仿宋" w:eastAsia="仿宋" w:cs="仿宋"/>
          <w:snapToGrid w:val="0"/>
          <w:color w:val="auto"/>
          <w:sz w:val="24"/>
          <w:szCs w:val="24"/>
          <w:highlight w:val="none"/>
          <w:u w:val="single"/>
        </w:rPr>
        <w:t xml:space="preserve">          </w:t>
      </w:r>
      <w:r>
        <w:rPr>
          <w:rFonts w:hint="eastAsia" w:ascii="仿宋" w:hAnsi="仿宋" w:eastAsia="仿宋" w:cs="仿宋"/>
          <w:snapToGrid w:val="0"/>
          <w:color w:val="auto"/>
          <w:sz w:val="24"/>
          <w:szCs w:val="24"/>
          <w:highlight w:val="none"/>
          <w:u w:val="none" w:color="595959"/>
        </w:rPr>
        <w:t>整）。</w:t>
      </w:r>
    </w:p>
    <w:p w14:paraId="54916819">
      <w:pPr>
        <w:pStyle w:val="18"/>
        <w:snapToGrid w:val="0"/>
        <w:spacing w:line="380" w:lineRule="exact"/>
        <w:ind w:firstLine="352" w:firstLineChars="147"/>
        <w:rPr>
          <w:rFonts w:hint="eastAsia" w:ascii="仿宋" w:hAnsi="仿宋" w:eastAsia="仿宋" w:cs="仿宋"/>
          <w:snapToGrid w:val="0"/>
          <w:color w:val="auto"/>
          <w:sz w:val="24"/>
          <w:szCs w:val="24"/>
          <w:highlight w:val="none"/>
          <w:u w:val="single" w:color="595959"/>
        </w:rPr>
      </w:pPr>
      <w:r>
        <w:rPr>
          <w:rFonts w:hint="eastAsia" w:ascii="仿宋" w:hAnsi="仿宋" w:eastAsia="仿宋" w:cs="仿宋"/>
          <w:snapToGrid w:val="0"/>
          <w:color w:val="auto"/>
          <w:sz w:val="24"/>
          <w:szCs w:val="24"/>
          <w:highlight w:val="none"/>
          <w:u w:val="none" w:color="595959"/>
        </w:rPr>
        <w:t>(2)本合同为固定单价合同，本项目预算金额为人民币</w:t>
      </w:r>
      <w:r>
        <w:rPr>
          <w:rFonts w:hint="eastAsia" w:ascii="仿宋" w:hAnsi="仿宋" w:eastAsia="仿宋" w:cs="仿宋"/>
          <w:snapToGrid w:val="0"/>
          <w:color w:val="auto"/>
          <w:sz w:val="24"/>
          <w:szCs w:val="24"/>
          <w:highlight w:val="none"/>
          <w:u w:val="single"/>
        </w:rPr>
        <w:t xml:space="preserve">          </w:t>
      </w:r>
      <w:r>
        <w:rPr>
          <w:rFonts w:hint="eastAsia" w:ascii="仿宋" w:hAnsi="仿宋" w:eastAsia="仿宋" w:cs="仿宋"/>
          <w:snapToGrid w:val="0"/>
          <w:color w:val="auto"/>
          <w:sz w:val="24"/>
          <w:szCs w:val="24"/>
          <w:highlight w:val="none"/>
          <w:u w:val="none" w:color="595959"/>
        </w:rPr>
        <w:t>整（￥</w:t>
      </w:r>
      <w:r>
        <w:rPr>
          <w:rFonts w:hint="eastAsia" w:ascii="仿宋" w:hAnsi="仿宋" w:eastAsia="仿宋" w:cs="仿宋"/>
          <w:snapToGrid w:val="0"/>
          <w:color w:val="auto"/>
          <w:sz w:val="24"/>
          <w:szCs w:val="24"/>
          <w:highlight w:val="none"/>
          <w:u w:val="single"/>
        </w:rPr>
        <w:t xml:space="preserve">          </w:t>
      </w:r>
      <w:r>
        <w:rPr>
          <w:rFonts w:hint="eastAsia" w:ascii="仿宋" w:hAnsi="仿宋" w:eastAsia="仿宋" w:cs="仿宋"/>
          <w:snapToGrid w:val="0"/>
          <w:color w:val="auto"/>
          <w:sz w:val="24"/>
          <w:szCs w:val="24"/>
          <w:highlight w:val="none"/>
          <w:u w:val="none" w:color="595959"/>
        </w:rPr>
        <w:t>整），合同实施过程中单价不予调整，结算的服务费用以最终实际发生的服务数量为准。服务单价确定方式：</w:t>
      </w:r>
      <w:r>
        <w:rPr>
          <w:rFonts w:hint="eastAsia" w:ascii="仿宋" w:hAnsi="仿宋" w:eastAsia="仿宋" w:cs="仿宋"/>
          <w:snapToGrid w:val="0"/>
          <w:color w:val="auto"/>
          <w:sz w:val="24"/>
          <w:szCs w:val="24"/>
          <w:highlight w:val="none"/>
          <w:u w:val="single" w:color="595959"/>
        </w:rPr>
        <w:t xml:space="preserve">                                                                </w:t>
      </w:r>
    </w:p>
    <w:p w14:paraId="3BBAE3A0">
      <w:pPr>
        <w:pStyle w:val="18"/>
        <w:snapToGrid w:val="0"/>
        <w:spacing w:line="380" w:lineRule="exact"/>
        <w:ind w:firstLine="352" w:firstLineChars="147"/>
        <w:rPr>
          <w:rFonts w:hint="eastAsia" w:ascii="仿宋" w:hAnsi="仿宋" w:eastAsia="仿宋" w:cs="仿宋"/>
          <w:snapToGrid w:val="0"/>
          <w:color w:val="auto"/>
          <w:sz w:val="24"/>
          <w:szCs w:val="24"/>
          <w:highlight w:val="none"/>
          <w:u w:val="single" w:color="595959"/>
        </w:rPr>
      </w:pPr>
      <w:r>
        <w:rPr>
          <w:rFonts w:hint="eastAsia" w:ascii="仿宋" w:hAnsi="仿宋" w:eastAsia="仿宋" w:cs="仿宋"/>
          <w:snapToGrid w:val="0"/>
          <w:color w:val="auto"/>
          <w:sz w:val="24"/>
          <w:szCs w:val="24"/>
          <w:highlight w:val="none"/>
          <w:u w:val="none" w:color="595959"/>
        </w:rPr>
        <w:t>(3)本合同为其他非固定总价合同，本项目预算金额为人民币</w:t>
      </w:r>
      <w:r>
        <w:rPr>
          <w:rFonts w:hint="eastAsia" w:ascii="仿宋" w:hAnsi="仿宋" w:eastAsia="仿宋" w:cs="仿宋"/>
          <w:snapToGrid w:val="0"/>
          <w:color w:val="auto"/>
          <w:sz w:val="24"/>
          <w:szCs w:val="24"/>
          <w:highlight w:val="none"/>
          <w:u w:val="single"/>
        </w:rPr>
        <w:t xml:space="preserve">          </w:t>
      </w:r>
      <w:r>
        <w:rPr>
          <w:rFonts w:hint="eastAsia" w:ascii="仿宋" w:hAnsi="仿宋" w:eastAsia="仿宋" w:cs="仿宋"/>
          <w:snapToGrid w:val="0"/>
          <w:color w:val="auto"/>
          <w:sz w:val="24"/>
          <w:szCs w:val="24"/>
          <w:highlight w:val="none"/>
          <w:u w:val="none" w:color="595959"/>
        </w:rPr>
        <w:t>整（￥</w:t>
      </w:r>
      <w:r>
        <w:rPr>
          <w:rFonts w:hint="eastAsia" w:ascii="仿宋" w:hAnsi="仿宋" w:eastAsia="仿宋" w:cs="仿宋"/>
          <w:snapToGrid w:val="0"/>
          <w:color w:val="auto"/>
          <w:sz w:val="24"/>
          <w:szCs w:val="24"/>
          <w:highlight w:val="none"/>
          <w:u w:val="single"/>
        </w:rPr>
        <w:t xml:space="preserve">          </w:t>
      </w:r>
      <w:r>
        <w:rPr>
          <w:rFonts w:hint="eastAsia" w:ascii="仿宋" w:hAnsi="仿宋" w:eastAsia="仿宋" w:cs="仿宋"/>
          <w:snapToGrid w:val="0"/>
          <w:color w:val="auto"/>
          <w:sz w:val="24"/>
          <w:szCs w:val="24"/>
          <w:highlight w:val="none"/>
          <w:u w:val="none" w:color="595959"/>
        </w:rPr>
        <w:t>整），服务费用计算方式</w:t>
      </w:r>
      <w:r>
        <w:rPr>
          <w:rFonts w:hint="eastAsia" w:ascii="仿宋" w:hAnsi="仿宋" w:eastAsia="仿宋" w:cs="仿宋"/>
          <w:snapToGrid w:val="0"/>
          <w:color w:val="auto"/>
          <w:sz w:val="24"/>
          <w:szCs w:val="24"/>
          <w:highlight w:val="none"/>
        </w:rPr>
        <w:t>：</w:t>
      </w:r>
      <w:r>
        <w:rPr>
          <w:rFonts w:hint="eastAsia" w:ascii="仿宋" w:hAnsi="仿宋" w:eastAsia="仿宋" w:cs="仿宋"/>
          <w:snapToGrid w:val="0"/>
          <w:color w:val="auto"/>
          <w:sz w:val="24"/>
          <w:szCs w:val="24"/>
          <w:highlight w:val="none"/>
          <w:u w:val="single" w:color="595959"/>
        </w:rPr>
        <w:t xml:space="preserve">                                         </w:t>
      </w:r>
    </w:p>
    <w:p w14:paraId="64958436">
      <w:pPr>
        <w:pStyle w:val="18"/>
        <w:snapToGrid w:val="0"/>
        <w:spacing w:line="380" w:lineRule="exact"/>
        <w:jc w:val="left"/>
        <w:rPr>
          <w:rFonts w:hint="eastAsia" w:ascii="仿宋" w:hAnsi="仿宋" w:eastAsia="仿宋" w:cs="仿宋"/>
          <w:snapToGrid w:val="0"/>
          <w:color w:val="auto"/>
          <w:sz w:val="24"/>
          <w:szCs w:val="24"/>
          <w:highlight w:val="none"/>
          <w:u w:val="single" w:color="595959"/>
        </w:rPr>
      </w:pPr>
      <w:r>
        <w:rPr>
          <w:rFonts w:hint="eastAsia" w:ascii="仿宋" w:hAnsi="仿宋" w:eastAsia="仿宋" w:cs="仿宋"/>
          <w:snapToGrid w:val="0"/>
          <w:color w:val="auto"/>
          <w:sz w:val="24"/>
          <w:szCs w:val="24"/>
          <w:highlight w:val="none"/>
          <w:u w:val="single" w:color="595959"/>
        </w:rPr>
        <w:t xml:space="preserve">                                                                         </w:t>
      </w:r>
    </w:p>
    <w:p w14:paraId="15A65A7E">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本合同价款包含所有乙方提供合同约定相关服务的报酬及乙方提供合同中相关服务所支出的必要费用，甲方在上述合同价款之外不再向乙方支付其他任何费用。</w:t>
      </w:r>
    </w:p>
    <w:p w14:paraId="711E3C6B">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2.2关于合同金额计算的补充约定事项：</w:t>
      </w:r>
      <w:r>
        <w:rPr>
          <w:rFonts w:hint="eastAsia" w:ascii="仿宋" w:hAnsi="仿宋" w:eastAsia="仿宋" w:cs="仿宋"/>
          <w:snapToGrid w:val="0"/>
          <w:color w:val="auto"/>
          <w:sz w:val="24"/>
          <w:szCs w:val="24"/>
          <w:highlight w:val="none"/>
          <w:u w:val="single" w:color="595959"/>
        </w:rPr>
        <w:t xml:space="preserve">                                    </w:t>
      </w:r>
    </w:p>
    <w:p w14:paraId="3D6560B5">
      <w:pPr>
        <w:pStyle w:val="18"/>
        <w:snapToGrid w:val="0"/>
        <w:spacing w:line="380" w:lineRule="exact"/>
        <w:ind w:firstLine="354" w:firstLineChars="147"/>
        <w:rPr>
          <w:rFonts w:hint="eastAsia" w:ascii="仿宋" w:hAnsi="仿宋" w:eastAsia="仿宋" w:cs="仿宋"/>
          <w:b/>
          <w:snapToGrid w:val="0"/>
          <w:color w:val="auto"/>
          <w:sz w:val="24"/>
          <w:szCs w:val="24"/>
          <w:highlight w:val="none"/>
          <w:u w:val="none" w:color="595959"/>
        </w:rPr>
      </w:pPr>
      <w:r>
        <w:rPr>
          <w:rFonts w:hint="eastAsia" w:ascii="仿宋" w:hAnsi="仿宋" w:eastAsia="仿宋" w:cs="仿宋"/>
          <w:b/>
          <w:snapToGrid w:val="0"/>
          <w:color w:val="auto"/>
          <w:sz w:val="24"/>
          <w:szCs w:val="24"/>
          <w:highlight w:val="none"/>
          <w:u w:val="none" w:color="595959"/>
        </w:rPr>
        <w:t>三、合同履行</w:t>
      </w:r>
    </w:p>
    <w:p w14:paraId="0356F673">
      <w:pPr>
        <w:pStyle w:val="18"/>
        <w:snapToGrid w:val="0"/>
        <w:spacing w:line="380" w:lineRule="exact"/>
        <w:ind w:firstLine="352" w:firstLineChars="147"/>
        <w:rPr>
          <w:rFonts w:hint="eastAsia" w:ascii="仿宋" w:hAnsi="仿宋" w:eastAsia="仿宋" w:cs="仿宋"/>
          <w:b/>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3.1本合同范围内服务的提供参照本项目采购文件以及乙方响应文件承诺的具体要求履行，甲乙双方通过补充条款进行特殊约定的从其约定。</w:t>
      </w:r>
    </w:p>
    <w:p w14:paraId="1CB7FB2A">
      <w:pPr>
        <w:pStyle w:val="18"/>
        <w:snapToGrid w:val="0"/>
        <w:spacing w:line="380" w:lineRule="exact"/>
        <w:ind w:firstLine="352" w:firstLineChars="147"/>
        <w:rPr>
          <w:rFonts w:hint="eastAsia" w:ascii="仿宋" w:hAnsi="仿宋" w:eastAsia="仿宋" w:cs="仿宋"/>
          <w:snapToGrid w:val="0"/>
          <w:color w:val="auto"/>
          <w:sz w:val="24"/>
          <w:szCs w:val="24"/>
          <w:highlight w:val="none"/>
          <w:u w:val="single" w:color="595959"/>
        </w:rPr>
      </w:pPr>
      <w:r>
        <w:rPr>
          <w:rFonts w:hint="eastAsia" w:ascii="仿宋" w:hAnsi="仿宋" w:eastAsia="仿宋" w:cs="仿宋"/>
          <w:snapToGrid w:val="0"/>
          <w:color w:val="auto"/>
          <w:sz w:val="24"/>
          <w:szCs w:val="24"/>
          <w:highlight w:val="none"/>
          <w:u w:val="none" w:color="595959"/>
        </w:rPr>
        <w:t>3.2补充条款：</w:t>
      </w:r>
      <w:r>
        <w:rPr>
          <w:rFonts w:hint="eastAsia" w:ascii="仿宋" w:hAnsi="仿宋" w:eastAsia="仿宋" w:cs="仿宋"/>
          <w:snapToGrid w:val="0"/>
          <w:color w:val="auto"/>
          <w:sz w:val="24"/>
          <w:szCs w:val="24"/>
          <w:highlight w:val="none"/>
          <w:u w:val="single" w:color="595959"/>
        </w:rPr>
        <w:t xml:space="preserve">                                                  　    </w:t>
      </w:r>
    </w:p>
    <w:p w14:paraId="3EFC8DF4">
      <w:pPr>
        <w:pStyle w:val="18"/>
        <w:snapToGrid w:val="0"/>
        <w:spacing w:line="380" w:lineRule="exact"/>
        <w:ind w:firstLine="354" w:firstLineChars="147"/>
        <w:rPr>
          <w:rFonts w:hint="eastAsia" w:ascii="仿宋" w:hAnsi="仿宋" w:eastAsia="仿宋" w:cs="仿宋"/>
          <w:b/>
          <w:snapToGrid w:val="0"/>
          <w:color w:val="auto"/>
          <w:sz w:val="24"/>
          <w:szCs w:val="24"/>
          <w:highlight w:val="none"/>
          <w:u w:val="none" w:color="595959"/>
        </w:rPr>
      </w:pPr>
      <w:r>
        <w:rPr>
          <w:rFonts w:hint="eastAsia" w:ascii="仿宋" w:hAnsi="仿宋" w:eastAsia="仿宋" w:cs="仿宋"/>
          <w:b/>
          <w:snapToGrid w:val="0"/>
          <w:color w:val="auto"/>
          <w:sz w:val="24"/>
          <w:szCs w:val="24"/>
          <w:highlight w:val="none"/>
          <w:u w:val="none" w:color="595959"/>
        </w:rPr>
        <w:t>四、服务成果内容和形式</w:t>
      </w:r>
    </w:p>
    <w:p w14:paraId="15B398DA">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4.1本合同应提交的成果内容、完成期限、成果形式及相关要求：</w:t>
      </w:r>
    </w:p>
    <w:p w14:paraId="37219321">
      <w:pPr>
        <w:pStyle w:val="18"/>
        <w:snapToGrid w:val="0"/>
        <w:spacing w:line="380" w:lineRule="exact"/>
        <w:ind w:firstLine="352" w:firstLineChars="147"/>
        <w:rPr>
          <w:rFonts w:hint="eastAsia" w:ascii="仿宋" w:hAnsi="仿宋" w:eastAsia="仿宋" w:cs="仿宋"/>
          <w:b w:val="0"/>
          <w:bCs/>
          <w:snapToGrid w:val="0"/>
          <w:color w:val="auto"/>
          <w:sz w:val="24"/>
          <w:szCs w:val="24"/>
          <w:highlight w:val="none"/>
          <w:u w:val="single" w:color="auto"/>
          <w:lang w:val="en-US" w:eastAsia="zh-CN"/>
        </w:rPr>
      </w:pPr>
      <w:r>
        <w:rPr>
          <w:rFonts w:hint="eastAsia" w:ascii="仿宋" w:hAnsi="仿宋" w:eastAsia="仿宋" w:cs="仿宋"/>
          <w:b w:val="0"/>
          <w:bCs/>
          <w:snapToGrid w:val="0"/>
          <w:color w:val="auto"/>
          <w:sz w:val="24"/>
          <w:szCs w:val="24"/>
          <w:highlight w:val="none"/>
          <w:u w:val="single" w:color="auto"/>
          <w:lang w:val="en-US" w:eastAsia="zh-CN"/>
        </w:rPr>
        <w:t>（1）形成长三角高速公路重大节假日大流量路网管控策略1份；</w:t>
      </w:r>
    </w:p>
    <w:p w14:paraId="5A05CABD">
      <w:pPr>
        <w:pStyle w:val="18"/>
        <w:snapToGrid w:val="0"/>
        <w:spacing w:line="380" w:lineRule="exact"/>
        <w:ind w:firstLine="352" w:firstLineChars="147"/>
        <w:rPr>
          <w:rFonts w:hint="eastAsia" w:ascii="仿宋" w:hAnsi="仿宋" w:eastAsia="仿宋" w:cs="仿宋"/>
          <w:b w:val="0"/>
          <w:bCs/>
          <w:snapToGrid w:val="0"/>
          <w:color w:val="auto"/>
          <w:sz w:val="24"/>
          <w:szCs w:val="24"/>
          <w:highlight w:val="none"/>
          <w:u w:val="single" w:color="auto"/>
          <w:lang w:val="en-US" w:eastAsia="zh-CN"/>
        </w:rPr>
      </w:pPr>
      <w:r>
        <w:rPr>
          <w:rFonts w:hint="eastAsia" w:ascii="仿宋" w:hAnsi="仿宋" w:eastAsia="仿宋" w:cs="仿宋"/>
          <w:b w:val="0"/>
          <w:bCs/>
          <w:snapToGrid w:val="0"/>
          <w:color w:val="auto"/>
          <w:sz w:val="24"/>
          <w:szCs w:val="24"/>
          <w:highlight w:val="none"/>
          <w:u w:val="single" w:color="auto"/>
          <w:lang w:val="en-US" w:eastAsia="zh-CN"/>
        </w:rPr>
        <w:t>（2）形成长三角高速公路重大节假日常发性拥堵点位“一张清单”1份；</w:t>
      </w:r>
    </w:p>
    <w:p w14:paraId="62CD85DD">
      <w:pPr>
        <w:pStyle w:val="18"/>
        <w:snapToGrid w:val="0"/>
        <w:spacing w:line="380" w:lineRule="exact"/>
        <w:ind w:firstLine="352" w:firstLineChars="147"/>
        <w:rPr>
          <w:rFonts w:hint="eastAsia" w:ascii="仿宋" w:hAnsi="仿宋" w:eastAsia="仿宋" w:cs="仿宋"/>
          <w:b w:val="0"/>
          <w:bCs/>
          <w:snapToGrid w:val="0"/>
          <w:color w:val="auto"/>
          <w:sz w:val="24"/>
          <w:szCs w:val="24"/>
          <w:highlight w:val="none"/>
          <w:u w:val="single" w:color="auto"/>
          <w:lang w:val="en-US" w:eastAsia="zh-CN"/>
        </w:rPr>
      </w:pPr>
      <w:r>
        <w:rPr>
          <w:rFonts w:hint="eastAsia" w:ascii="仿宋" w:hAnsi="仿宋" w:eastAsia="仿宋" w:cs="仿宋"/>
          <w:b w:val="0"/>
          <w:bCs/>
          <w:snapToGrid w:val="0"/>
          <w:color w:val="auto"/>
          <w:sz w:val="24"/>
          <w:szCs w:val="24"/>
          <w:highlight w:val="none"/>
          <w:u w:val="single" w:color="auto"/>
          <w:lang w:val="en-US" w:eastAsia="zh-CN"/>
        </w:rPr>
        <w:t>3.形成高速公路重大节假日保通保畅典型案例集1份。</w:t>
      </w:r>
    </w:p>
    <w:p w14:paraId="405A17BD">
      <w:pPr>
        <w:pStyle w:val="18"/>
        <w:snapToGrid w:val="0"/>
        <w:spacing w:line="380" w:lineRule="exact"/>
        <w:ind w:firstLine="354" w:firstLineChars="147"/>
        <w:rPr>
          <w:rFonts w:hint="eastAsia" w:ascii="仿宋" w:hAnsi="仿宋" w:eastAsia="仿宋" w:cs="仿宋"/>
          <w:b/>
          <w:snapToGrid w:val="0"/>
          <w:color w:val="auto"/>
          <w:sz w:val="24"/>
          <w:szCs w:val="24"/>
          <w:highlight w:val="none"/>
          <w:u w:val="none" w:color="595959"/>
        </w:rPr>
      </w:pPr>
      <w:r>
        <w:rPr>
          <w:rFonts w:hint="eastAsia" w:ascii="仿宋" w:hAnsi="仿宋" w:eastAsia="仿宋" w:cs="仿宋"/>
          <w:b/>
          <w:snapToGrid w:val="0"/>
          <w:color w:val="auto"/>
          <w:sz w:val="24"/>
          <w:szCs w:val="24"/>
          <w:highlight w:val="none"/>
          <w:u w:val="none" w:color="595959"/>
        </w:rPr>
        <w:t>五、履约验收</w:t>
      </w:r>
    </w:p>
    <w:p w14:paraId="65B25BEC">
      <w:pPr>
        <w:spacing w:line="380" w:lineRule="exact"/>
        <w:ind w:firstLine="480" w:firstLineChars="200"/>
        <w:jc w:val="left"/>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5.1 本合同履约验收要求为（包括但不限于：履约验收的实施主体、验收时间、验收方式、验收内容和标准）</w:t>
      </w:r>
      <w:r>
        <w:rPr>
          <w:rFonts w:hint="eastAsia" w:ascii="仿宋" w:hAnsi="仿宋" w:eastAsia="仿宋" w:cs="仿宋"/>
          <w:snapToGrid w:val="0"/>
          <w:color w:val="auto"/>
          <w:kern w:val="0"/>
          <w:sz w:val="24"/>
          <w:szCs w:val="24"/>
          <w:highlight w:val="none"/>
          <w:u w:val="single"/>
        </w:rPr>
        <w:t xml:space="preserve">  </w:t>
      </w:r>
      <w:r>
        <w:rPr>
          <w:rFonts w:hint="eastAsia" w:ascii="仿宋" w:hAnsi="仿宋" w:eastAsia="仿宋" w:cs="仿宋"/>
          <w:snapToGrid w:val="0"/>
          <w:color w:val="auto"/>
          <w:kern w:val="0"/>
          <w:sz w:val="24"/>
          <w:szCs w:val="24"/>
          <w:highlight w:val="none"/>
          <w:u w:val="single" w:color="auto"/>
        </w:rPr>
        <w:t>按照《江苏省政府采购履约验收管理办法》开展验收，</w:t>
      </w:r>
      <w:r>
        <w:rPr>
          <w:rFonts w:hint="eastAsia" w:ascii="仿宋" w:hAnsi="仿宋" w:eastAsia="仿宋" w:cs="仿宋"/>
          <w:snapToGrid w:val="0"/>
          <w:color w:val="auto"/>
          <w:kern w:val="0"/>
          <w:sz w:val="24"/>
          <w:szCs w:val="24"/>
          <w:highlight w:val="none"/>
          <w:u w:val="single" w:color="auto"/>
          <w:lang w:val="en-US" w:eastAsia="zh-CN"/>
        </w:rPr>
        <w:t>甲方</w:t>
      </w:r>
      <w:r>
        <w:rPr>
          <w:rFonts w:hint="eastAsia" w:ascii="仿宋" w:hAnsi="仿宋" w:eastAsia="仿宋" w:cs="仿宋"/>
          <w:snapToGrid w:val="0"/>
          <w:color w:val="auto"/>
          <w:kern w:val="0"/>
          <w:sz w:val="24"/>
          <w:szCs w:val="24"/>
          <w:highlight w:val="none"/>
          <w:u w:val="single" w:color="auto"/>
        </w:rPr>
        <w:t>对成果资料完整性、数据准确性、结论科学性、内容合规性进行审核，通过审查即为验收合格</w:t>
      </w:r>
      <w:r>
        <w:rPr>
          <w:rFonts w:hint="eastAsia" w:ascii="仿宋" w:hAnsi="仿宋" w:eastAsia="仿宋" w:cs="仿宋"/>
          <w:snapToGrid w:val="0"/>
          <w:color w:val="auto"/>
          <w:kern w:val="0"/>
          <w:sz w:val="24"/>
          <w:szCs w:val="24"/>
          <w:highlight w:val="none"/>
          <w:u w:val="none" w:color="595959"/>
        </w:rPr>
        <w:t>。</w:t>
      </w:r>
    </w:p>
    <w:p w14:paraId="5C289B33">
      <w:pPr>
        <w:spacing w:line="380" w:lineRule="exact"/>
        <w:ind w:firstLine="352" w:firstLineChars="147"/>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5.2 甲方依据以上验收要求对乙方提供的相关服务进行阶段性验收（如有）及总体验收。</w:t>
      </w:r>
    </w:p>
    <w:p w14:paraId="29175A3C">
      <w:pPr>
        <w:spacing w:line="380" w:lineRule="exact"/>
        <w:ind w:firstLine="352" w:firstLineChars="147"/>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5.3 经验收不合格的，乙方应当按照甲方要求在指定的合理期限内进行整改和完善，直至符合验收相关标准。逾期不予整改或整改后仍不能符合相关要求，或导致合同目的无法实现，甲方有权依据法律程序解除合同，并追究乙方违约责任。</w:t>
      </w:r>
    </w:p>
    <w:p w14:paraId="05F25DF3">
      <w:pPr>
        <w:spacing w:line="380" w:lineRule="exact"/>
        <w:ind w:firstLine="354" w:firstLineChars="147"/>
        <w:rPr>
          <w:rFonts w:hint="eastAsia" w:ascii="仿宋" w:hAnsi="仿宋" w:eastAsia="仿宋" w:cs="仿宋"/>
          <w:i/>
          <w:snapToGrid w:val="0"/>
          <w:color w:val="auto"/>
          <w:kern w:val="0"/>
          <w:highlight w:val="none"/>
        </w:rPr>
      </w:pPr>
      <w:r>
        <w:rPr>
          <w:rFonts w:hint="eastAsia" w:ascii="仿宋" w:hAnsi="仿宋" w:eastAsia="仿宋" w:cs="仿宋"/>
          <w:b/>
          <w:snapToGrid w:val="0"/>
          <w:color w:val="auto"/>
          <w:sz w:val="24"/>
          <w:szCs w:val="24"/>
          <w:highlight w:val="none"/>
          <w:u w:val="none" w:color="595959"/>
        </w:rPr>
        <w:t xml:space="preserve">六、款项支付 </w:t>
      </w:r>
    </w:p>
    <w:p w14:paraId="79687645">
      <w:pPr>
        <w:spacing w:line="380" w:lineRule="exact"/>
        <w:ind w:firstLine="352" w:firstLineChars="147"/>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6.1 本合同款项采用以下第</w:t>
      </w: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u w:val="single" w:color="595959"/>
          <w:lang w:eastAsia="zh-CN"/>
        </w:rPr>
        <w:t>（</w:t>
      </w:r>
      <w:r>
        <w:rPr>
          <w:rFonts w:hint="eastAsia" w:ascii="仿宋" w:hAnsi="仿宋" w:eastAsia="仿宋" w:cs="仿宋"/>
          <w:snapToGrid w:val="0"/>
          <w:color w:val="auto"/>
          <w:kern w:val="0"/>
          <w:sz w:val="24"/>
          <w:szCs w:val="24"/>
          <w:highlight w:val="none"/>
          <w:u w:val="single" w:color="595959"/>
          <w:lang w:val="en-US" w:eastAsia="zh-CN"/>
        </w:rPr>
        <w:t>2</w:t>
      </w:r>
      <w:r>
        <w:rPr>
          <w:rFonts w:hint="eastAsia" w:ascii="仿宋" w:hAnsi="仿宋" w:eastAsia="仿宋" w:cs="仿宋"/>
          <w:snapToGrid w:val="0"/>
          <w:color w:val="auto"/>
          <w:kern w:val="0"/>
          <w:sz w:val="24"/>
          <w:szCs w:val="24"/>
          <w:highlight w:val="none"/>
          <w:u w:val="single" w:color="595959"/>
          <w:lang w:eastAsia="zh-CN"/>
        </w:rPr>
        <w:t>）</w:t>
      </w: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rPr>
        <w:t>种方式支付：</w:t>
      </w:r>
    </w:p>
    <w:p w14:paraId="7913BC04">
      <w:pPr>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w:t>
      </w:r>
      <w:r>
        <w:rPr>
          <w:rFonts w:hint="eastAsia" w:ascii="仿宋" w:hAnsi="仿宋" w:eastAsia="仿宋" w:cs="仿宋"/>
          <w:snapToGrid w:val="0"/>
          <w:color w:val="auto"/>
          <w:kern w:val="0"/>
          <w:sz w:val="24"/>
          <w:szCs w:val="24"/>
          <w:highlight w:val="none"/>
          <w:u w:val="none" w:color="595959"/>
        </w:rPr>
        <w:t xml:space="preserve"> 本合同款项分三期支付。</w:t>
      </w:r>
      <w:r>
        <w:rPr>
          <w:rFonts w:hint="eastAsia" w:ascii="仿宋" w:hAnsi="仿宋" w:eastAsia="仿宋" w:cs="仿宋"/>
          <w:snapToGrid w:val="0"/>
          <w:color w:val="auto"/>
          <w:sz w:val="24"/>
          <w:szCs w:val="24"/>
          <w:highlight w:val="none"/>
          <w:u w:val="none" w:color="595959"/>
        </w:rPr>
        <w:t>支付条件（时间）及支付金额如下：</w:t>
      </w:r>
    </w:p>
    <w:p w14:paraId="6619A9BB">
      <w:pPr>
        <w:spacing w:line="380" w:lineRule="exact"/>
        <w:ind w:firstLine="352" w:firstLineChars="147"/>
        <w:rPr>
          <w:rFonts w:hint="eastAsia" w:ascii="仿宋" w:hAnsi="仿宋" w:eastAsia="仿宋" w:cs="仿宋"/>
          <w:snapToGrid w:val="0"/>
          <w:color w:val="auto"/>
          <w:kern w:val="0"/>
          <w:sz w:val="24"/>
          <w:szCs w:val="24"/>
          <w:highlight w:val="none"/>
          <w:u w:val="single" w:color="595959"/>
        </w:rPr>
      </w:pPr>
      <w:r>
        <w:rPr>
          <w:rFonts w:hint="eastAsia" w:ascii="仿宋" w:hAnsi="仿宋" w:eastAsia="仿宋" w:cs="仿宋"/>
          <w:snapToGrid w:val="0"/>
          <w:color w:val="auto"/>
          <w:kern w:val="0"/>
          <w:sz w:val="24"/>
          <w:szCs w:val="24"/>
          <w:highlight w:val="none"/>
          <w:u w:val="none" w:color="595959"/>
        </w:rPr>
        <w:t>第一期:合同签订后</w:t>
      </w:r>
      <w:r>
        <w:rPr>
          <w:rFonts w:hint="eastAsia" w:ascii="仿宋" w:hAnsi="仿宋" w:eastAsia="仿宋" w:cs="仿宋"/>
          <w:snapToGrid w:val="0"/>
          <w:color w:val="auto"/>
          <w:kern w:val="0"/>
          <w:sz w:val="24"/>
          <w:szCs w:val="24"/>
          <w:highlight w:val="none"/>
          <w:u w:val="single"/>
        </w:rPr>
        <w:t xml:space="preserve">  </w:t>
      </w:r>
      <w:r>
        <w:rPr>
          <w:rFonts w:hint="eastAsia" w:ascii="仿宋" w:hAnsi="仿宋" w:eastAsia="仿宋" w:cs="仿宋"/>
          <w:snapToGrid w:val="0"/>
          <w:color w:val="auto"/>
          <w:kern w:val="0"/>
          <w:sz w:val="24"/>
          <w:szCs w:val="24"/>
          <w:highlight w:val="none"/>
          <w:u w:val="none" w:color="595959"/>
        </w:rPr>
        <w:t>个工作日内支付首付款，付款比例为合同金额的</w:t>
      </w: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u w:val="none" w:color="595959"/>
        </w:rPr>
        <w:t>%,</w:t>
      </w:r>
      <w:r>
        <w:rPr>
          <w:rFonts w:hint="eastAsia" w:ascii="仿宋" w:hAnsi="仿宋" w:eastAsia="仿宋" w:cs="仿宋"/>
          <w:snapToGrid w:val="0"/>
          <w:color w:val="auto"/>
          <w:kern w:val="0"/>
          <w:sz w:val="24"/>
          <w:szCs w:val="24"/>
          <w:highlight w:val="none"/>
        </w:rPr>
        <w:t>计人民币</w:t>
      </w: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rPr>
        <w:t>整</w:t>
      </w:r>
      <w:r>
        <w:rPr>
          <w:rFonts w:hint="eastAsia" w:ascii="仿宋" w:hAnsi="仿宋" w:eastAsia="仿宋" w:cs="仿宋"/>
          <w:snapToGrid w:val="0"/>
          <w:color w:val="auto"/>
          <w:sz w:val="24"/>
          <w:szCs w:val="24"/>
          <w:highlight w:val="none"/>
          <w:u w:val="none" w:color="595959"/>
        </w:rPr>
        <w:t>（￥</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none" w:color="595959"/>
        </w:rPr>
        <w:t>整）</w:t>
      </w:r>
      <w:r>
        <w:rPr>
          <w:rFonts w:hint="eastAsia" w:ascii="仿宋" w:hAnsi="仿宋" w:eastAsia="仿宋" w:cs="仿宋"/>
          <w:snapToGrid w:val="0"/>
          <w:color w:val="auto"/>
          <w:kern w:val="0"/>
          <w:sz w:val="24"/>
          <w:szCs w:val="24"/>
          <w:highlight w:val="none"/>
        </w:rPr>
        <w:t>。</w:t>
      </w:r>
    </w:p>
    <w:p w14:paraId="4CBE0E29">
      <w:pPr>
        <w:spacing w:line="380" w:lineRule="exact"/>
        <w:ind w:firstLine="352" w:firstLineChars="147"/>
        <w:rPr>
          <w:rFonts w:hint="eastAsia" w:ascii="仿宋" w:hAnsi="仿宋" w:eastAsia="仿宋" w:cs="仿宋"/>
          <w:snapToGrid w:val="0"/>
          <w:color w:val="auto"/>
          <w:kern w:val="0"/>
          <w:sz w:val="24"/>
          <w:szCs w:val="24"/>
          <w:highlight w:val="none"/>
          <w:u w:val="single" w:color="595959"/>
        </w:rPr>
      </w:pPr>
      <w:r>
        <w:rPr>
          <w:rFonts w:hint="eastAsia" w:ascii="仿宋" w:hAnsi="仿宋" w:eastAsia="仿宋" w:cs="仿宋"/>
          <w:snapToGrid w:val="0"/>
          <w:color w:val="auto"/>
          <w:kern w:val="0"/>
          <w:sz w:val="24"/>
          <w:szCs w:val="24"/>
          <w:highlight w:val="none"/>
          <w:u w:val="none" w:color="595959"/>
        </w:rPr>
        <w:t>第二期：当</w:t>
      </w: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rPr>
        <w:t>时支付第二期款项，</w:t>
      </w:r>
      <w:r>
        <w:rPr>
          <w:rFonts w:hint="eastAsia" w:ascii="仿宋" w:hAnsi="仿宋" w:eastAsia="仿宋" w:cs="仿宋"/>
          <w:snapToGrid w:val="0"/>
          <w:color w:val="auto"/>
          <w:kern w:val="0"/>
          <w:sz w:val="24"/>
          <w:szCs w:val="24"/>
          <w:highlight w:val="none"/>
          <w:u w:val="none" w:color="595959"/>
        </w:rPr>
        <w:t>付款比例为合同金额的</w:t>
      </w: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u w:val="none" w:color="595959"/>
        </w:rPr>
        <w:t>%,</w:t>
      </w:r>
      <w:r>
        <w:rPr>
          <w:rFonts w:hint="eastAsia" w:ascii="仿宋" w:hAnsi="仿宋" w:eastAsia="仿宋" w:cs="仿宋"/>
          <w:snapToGrid w:val="0"/>
          <w:color w:val="auto"/>
          <w:kern w:val="0"/>
          <w:sz w:val="24"/>
          <w:szCs w:val="24"/>
          <w:highlight w:val="none"/>
        </w:rPr>
        <w:t>计人民币</w:t>
      </w: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rPr>
        <w:t>整</w:t>
      </w:r>
      <w:r>
        <w:rPr>
          <w:rFonts w:hint="eastAsia" w:ascii="仿宋" w:hAnsi="仿宋" w:eastAsia="仿宋" w:cs="仿宋"/>
          <w:snapToGrid w:val="0"/>
          <w:color w:val="auto"/>
          <w:sz w:val="24"/>
          <w:szCs w:val="24"/>
          <w:highlight w:val="none"/>
          <w:u w:val="none" w:color="595959"/>
        </w:rPr>
        <w:t>（￥</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none" w:color="595959"/>
        </w:rPr>
        <w:t>整）</w:t>
      </w:r>
      <w:r>
        <w:rPr>
          <w:rFonts w:hint="eastAsia" w:ascii="仿宋" w:hAnsi="仿宋" w:eastAsia="仿宋" w:cs="仿宋"/>
          <w:snapToGrid w:val="0"/>
          <w:color w:val="auto"/>
          <w:kern w:val="0"/>
          <w:sz w:val="24"/>
          <w:szCs w:val="24"/>
          <w:highlight w:val="none"/>
        </w:rPr>
        <w:t>。</w:t>
      </w:r>
    </w:p>
    <w:p w14:paraId="762ADEC6">
      <w:pPr>
        <w:spacing w:line="380" w:lineRule="exact"/>
        <w:ind w:firstLine="352" w:firstLineChars="147"/>
        <w:rPr>
          <w:rFonts w:hint="eastAsia" w:ascii="仿宋" w:hAnsi="仿宋" w:eastAsia="仿宋" w:cs="仿宋"/>
          <w:snapToGrid w:val="0"/>
          <w:color w:val="auto"/>
          <w:kern w:val="0"/>
          <w:sz w:val="24"/>
          <w:szCs w:val="24"/>
          <w:highlight w:val="none"/>
        </w:rPr>
      </w:pPr>
      <w:r>
        <w:rPr>
          <w:rFonts w:hint="eastAsia" w:ascii="仿宋" w:hAnsi="仿宋" w:eastAsia="仿宋" w:cs="仿宋"/>
          <w:snapToGrid w:val="0"/>
          <w:color w:val="auto"/>
          <w:kern w:val="0"/>
          <w:sz w:val="24"/>
          <w:szCs w:val="24"/>
          <w:highlight w:val="none"/>
          <w:u w:val="none" w:color="595959"/>
        </w:rPr>
        <w:t>第三期：当乙方提供本合同所有服务成果并经甲方验收通过后</w:t>
      </w: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rPr>
        <w:t>工作日内</w:t>
      </w:r>
      <w:r>
        <w:rPr>
          <w:rFonts w:hint="eastAsia" w:ascii="仿宋" w:hAnsi="仿宋" w:eastAsia="仿宋" w:cs="仿宋"/>
          <w:snapToGrid w:val="0"/>
          <w:color w:val="auto"/>
          <w:kern w:val="0"/>
          <w:sz w:val="24"/>
          <w:szCs w:val="24"/>
          <w:highlight w:val="none"/>
          <w:u w:val="none" w:color="595959"/>
        </w:rPr>
        <w:t>，支付剩余款项，</w:t>
      </w:r>
      <w:r>
        <w:rPr>
          <w:rFonts w:hint="eastAsia" w:ascii="仿宋" w:hAnsi="仿宋" w:eastAsia="仿宋" w:cs="仿宋"/>
          <w:snapToGrid w:val="0"/>
          <w:color w:val="auto"/>
          <w:kern w:val="0"/>
          <w:sz w:val="24"/>
          <w:szCs w:val="24"/>
          <w:highlight w:val="none"/>
        </w:rPr>
        <w:t>计人民币</w:t>
      </w: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rPr>
        <w:t>整</w:t>
      </w:r>
      <w:r>
        <w:rPr>
          <w:rFonts w:hint="eastAsia" w:ascii="仿宋" w:hAnsi="仿宋" w:eastAsia="仿宋" w:cs="仿宋"/>
          <w:snapToGrid w:val="0"/>
          <w:color w:val="auto"/>
          <w:sz w:val="24"/>
          <w:szCs w:val="24"/>
          <w:highlight w:val="none"/>
          <w:u w:val="none" w:color="595959"/>
        </w:rPr>
        <w:t>（￥</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none" w:color="595959"/>
        </w:rPr>
        <w:t>整）</w:t>
      </w:r>
      <w:r>
        <w:rPr>
          <w:rFonts w:hint="eastAsia" w:ascii="仿宋" w:hAnsi="仿宋" w:eastAsia="仿宋" w:cs="仿宋"/>
          <w:snapToGrid w:val="0"/>
          <w:color w:val="auto"/>
          <w:kern w:val="0"/>
          <w:sz w:val="24"/>
          <w:szCs w:val="24"/>
          <w:highlight w:val="none"/>
        </w:rPr>
        <w:t>。</w:t>
      </w:r>
    </w:p>
    <w:p w14:paraId="0A62B8AE">
      <w:pPr>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(2)</w:t>
      </w:r>
      <w:r>
        <w:rPr>
          <w:rFonts w:hint="eastAsia" w:ascii="仿宋" w:hAnsi="仿宋" w:eastAsia="仿宋" w:cs="仿宋"/>
          <w:snapToGrid w:val="0"/>
          <w:color w:val="auto"/>
          <w:kern w:val="0"/>
          <w:sz w:val="24"/>
          <w:szCs w:val="24"/>
          <w:highlight w:val="none"/>
        </w:rPr>
        <w:t xml:space="preserve"> </w:t>
      </w:r>
      <w:r>
        <w:rPr>
          <w:rFonts w:hint="eastAsia" w:ascii="仿宋" w:hAnsi="仿宋" w:eastAsia="仿宋" w:cs="仿宋"/>
          <w:snapToGrid w:val="0"/>
          <w:color w:val="auto"/>
          <w:kern w:val="0"/>
          <w:sz w:val="24"/>
          <w:szCs w:val="24"/>
          <w:highlight w:val="none"/>
          <w:u w:val="none" w:color="595959"/>
        </w:rPr>
        <w:t>本合同款项分两期支付。</w:t>
      </w:r>
      <w:r>
        <w:rPr>
          <w:rFonts w:hint="eastAsia" w:ascii="仿宋" w:hAnsi="仿宋" w:eastAsia="仿宋" w:cs="仿宋"/>
          <w:snapToGrid w:val="0"/>
          <w:color w:val="auto"/>
          <w:sz w:val="24"/>
          <w:szCs w:val="24"/>
          <w:highlight w:val="none"/>
          <w:u w:val="none" w:color="595959"/>
        </w:rPr>
        <w:t>支付条件（时间）及支付金额如下：</w:t>
      </w:r>
    </w:p>
    <w:p w14:paraId="449075B9">
      <w:pPr>
        <w:spacing w:line="380" w:lineRule="exact"/>
        <w:ind w:firstLine="352" w:firstLineChars="147"/>
        <w:rPr>
          <w:rFonts w:hint="eastAsia" w:ascii="仿宋" w:hAnsi="仿宋" w:eastAsia="仿宋" w:cs="仿宋"/>
          <w:snapToGrid w:val="0"/>
          <w:color w:val="auto"/>
          <w:kern w:val="0"/>
          <w:sz w:val="24"/>
          <w:szCs w:val="24"/>
          <w:highlight w:val="none"/>
        </w:rPr>
      </w:pPr>
      <w:r>
        <w:rPr>
          <w:rFonts w:hint="eastAsia" w:ascii="仿宋" w:hAnsi="仿宋" w:eastAsia="仿宋" w:cs="仿宋"/>
          <w:snapToGrid w:val="0"/>
          <w:color w:val="auto"/>
          <w:kern w:val="0"/>
          <w:sz w:val="24"/>
          <w:szCs w:val="24"/>
          <w:highlight w:val="none"/>
          <w:u w:val="none" w:color="595959"/>
        </w:rPr>
        <w:t>第一期:合同签订后</w:t>
      </w:r>
      <w:r>
        <w:rPr>
          <w:rFonts w:hint="eastAsia" w:ascii="仿宋" w:hAnsi="仿宋" w:eastAsia="仿宋" w:cs="仿宋"/>
          <w:snapToGrid w:val="0"/>
          <w:color w:val="auto"/>
          <w:kern w:val="0"/>
          <w:sz w:val="24"/>
          <w:szCs w:val="24"/>
          <w:highlight w:val="none"/>
          <w:u w:val="single"/>
          <w:lang w:val="en-US" w:eastAsia="zh-CN"/>
        </w:rPr>
        <w:t>30</w:t>
      </w:r>
      <w:r>
        <w:rPr>
          <w:rFonts w:hint="eastAsia" w:ascii="仿宋" w:hAnsi="仿宋" w:eastAsia="仿宋" w:cs="仿宋"/>
          <w:snapToGrid w:val="0"/>
          <w:color w:val="auto"/>
          <w:kern w:val="0"/>
          <w:sz w:val="24"/>
          <w:szCs w:val="24"/>
          <w:highlight w:val="none"/>
          <w:u w:val="none" w:color="595959"/>
        </w:rPr>
        <w:t>个工作日内支付首付款，付款比例为合同金额的</w:t>
      </w: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u w:val="single" w:color="595959"/>
          <w:lang w:val="en-US" w:eastAsia="zh-CN"/>
        </w:rPr>
        <w:t>50</w:t>
      </w: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u w:val="none" w:color="595959"/>
        </w:rPr>
        <w:t>%,</w:t>
      </w:r>
      <w:r>
        <w:rPr>
          <w:rFonts w:hint="eastAsia" w:ascii="仿宋" w:hAnsi="仿宋" w:eastAsia="仿宋" w:cs="仿宋"/>
          <w:snapToGrid w:val="0"/>
          <w:color w:val="auto"/>
          <w:kern w:val="0"/>
          <w:sz w:val="24"/>
          <w:szCs w:val="24"/>
          <w:highlight w:val="none"/>
        </w:rPr>
        <w:t>计人民币</w:t>
      </w: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rPr>
        <w:t>整</w:t>
      </w:r>
      <w:r>
        <w:rPr>
          <w:rFonts w:hint="eastAsia" w:ascii="仿宋" w:hAnsi="仿宋" w:eastAsia="仿宋" w:cs="仿宋"/>
          <w:snapToGrid w:val="0"/>
          <w:color w:val="auto"/>
          <w:sz w:val="24"/>
          <w:szCs w:val="24"/>
          <w:highlight w:val="none"/>
          <w:u w:val="none" w:color="595959"/>
        </w:rPr>
        <w:t>（￥</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none" w:color="595959"/>
        </w:rPr>
        <w:t>整）</w:t>
      </w:r>
      <w:r>
        <w:rPr>
          <w:rFonts w:hint="eastAsia" w:ascii="仿宋" w:hAnsi="仿宋" w:eastAsia="仿宋" w:cs="仿宋"/>
          <w:snapToGrid w:val="0"/>
          <w:color w:val="auto"/>
          <w:kern w:val="0"/>
          <w:sz w:val="24"/>
          <w:szCs w:val="24"/>
          <w:highlight w:val="none"/>
        </w:rPr>
        <w:t>。</w:t>
      </w:r>
    </w:p>
    <w:p w14:paraId="07AD3663">
      <w:pPr>
        <w:spacing w:line="380" w:lineRule="exact"/>
        <w:ind w:firstLine="352" w:firstLineChars="147"/>
        <w:rPr>
          <w:rFonts w:hint="eastAsia" w:ascii="仿宋" w:hAnsi="仿宋" w:eastAsia="仿宋" w:cs="仿宋"/>
          <w:snapToGrid w:val="0"/>
          <w:color w:val="auto"/>
          <w:kern w:val="0"/>
          <w:sz w:val="24"/>
          <w:szCs w:val="24"/>
          <w:highlight w:val="none"/>
        </w:rPr>
      </w:pPr>
      <w:r>
        <w:rPr>
          <w:rFonts w:hint="eastAsia" w:ascii="仿宋" w:hAnsi="仿宋" w:eastAsia="仿宋" w:cs="仿宋"/>
          <w:snapToGrid w:val="0"/>
          <w:color w:val="auto"/>
          <w:kern w:val="0"/>
          <w:sz w:val="24"/>
          <w:szCs w:val="24"/>
          <w:highlight w:val="none"/>
          <w:u w:val="none" w:color="595959"/>
        </w:rPr>
        <w:t>第二期：当乙方提供本合同所有服务成果并经甲方验收通过后</w:t>
      </w: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u w:val="single" w:color="595959"/>
          <w:lang w:val="en-US" w:eastAsia="zh-CN"/>
        </w:rPr>
        <w:t>30</w:t>
      </w: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rPr>
        <w:t>工作日内</w:t>
      </w:r>
      <w:r>
        <w:rPr>
          <w:rFonts w:hint="eastAsia" w:ascii="仿宋" w:hAnsi="仿宋" w:eastAsia="仿宋" w:cs="仿宋"/>
          <w:snapToGrid w:val="0"/>
          <w:color w:val="auto"/>
          <w:kern w:val="0"/>
          <w:sz w:val="24"/>
          <w:szCs w:val="24"/>
          <w:highlight w:val="none"/>
          <w:u w:val="none" w:color="595959"/>
        </w:rPr>
        <w:t>，支付剩余款项，</w:t>
      </w:r>
      <w:r>
        <w:rPr>
          <w:rFonts w:hint="eastAsia" w:ascii="仿宋" w:hAnsi="仿宋" w:eastAsia="仿宋" w:cs="仿宋"/>
          <w:snapToGrid w:val="0"/>
          <w:color w:val="auto"/>
          <w:kern w:val="0"/>
          <w:sz w:val="24"/>
          <w:szCs w:val="24"/>
          <w:highlight w:val="none"/>
        </w:rPr>
        <w:t>计人民币</w:t>
      </w: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rPr>
        <w:t>整</w:t>
      </w:r>
      <w:r>
        <w:rPr>
          <w:rFonts w:hint="eastAsia" w:ascii="仿宋" w:hAnsi="仿宋" w:eastAsia="仿宋" w:cs="仿宋"/>
          <w:snapToGrid w:val="0"/>
          <w:color w:val="auto"/>
          <w:sz w:val="24"/>
          <w:szCs w:val="24"/>
          <w:highlight w:val="none"/>
          <w:u w:val="none" w:color="595959"/>
        </w:rPr>
        <w:t>（￥</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none" w:color="595959"/>
        </w:rPr>
        <w:t>整）</w:t>
      </w:r>
      <w:r>
        <w:rPr>
          <w:rFonts w:hint="eastAsia" w:ascii="仿宋" w:hAnsi="仿宋" w:eastAsia="仿宋" w:cs="仿宋"/>
          <w:snapToGrid w:val="0"/>
          <w:color w:val="auto"/>
          <w:kern w:val="0"/>
          <w:sz w:val="24"/>
          <w:szCs w:val="24"/>
          <w:highlight w:val="none"/>
        </w:rPr>
        <w:t>。</w:t>
      </w:r>
    </w:p>
    <w:p w14:paraId="0D9DB78F">
      <w:pPr>
        <w:numPr>
          <w:ilvl w:val="0"/>
          <w:numId w:val="5"/>
        </w:numPr>
        <w:spacing w:line="380" w:lineRule="exact"/>
        <w:ind w:firstLine="352" w:firstLineChars="147"/>
        <w:rPr>
          <w:rFonts w:hint="eastAsia" w:ascii="仿宋" w:hAnsi="仿宋" w:eastAsia="仿宋" w:cs="仿宋"/>
          <w:snapToGrid w:val="0"/>
          <w:color w:val="auto"/>
          <w:kern w:val="0"/>
          <w:sz w:val="24"/>
          <w:szCs w:val="24"/>
          <w:highlight w:val="none"/>
        </w:rPr>
      </w:pPr>
      <w:r>
        <w:rPr>
          <w:rFonts w:hint="eastAsia" w:ascii="仿宋" w:hAnsi="仿宋" w:eastAsia="仿宋" w:cs="仿宋"/>
          <w:snapToGrid w:val="0"/>
          <w:color w:val="auto"/>
          <w:kern w:val="0"/>
          <w:sz w:val="24"/>
          <w:szCs w:val="24"/>
          <w:highlight w:val="none"/>
        </w:rPr>
        <w:t>乙方无预付款要求的，在</w:t>
      </w: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rPr>
        <w:t>时按乙方实际完成的工作量据实结算。</w:t>
      </w:r>
    </w:p>
    <w:p w14:paraId="66034896">
      <w:pPr>
        <w:spacing w:line="380" w:lineRule="exact"/>
        <w:ind w:firstLine="352" w:firstLineChars="147"/>
        <w:rPr>
          <w:rFonts w:hint="eastAsia" w:ascii="仿宋" w:hAnsi="仿宋" w:eastAsia="仿宋" w:cs="仿宋"/>
          <w:snapToGrid w:val="0"/>
          <w:color w:val="auto"/>
          <w:kern w:val="0"/>
          <w:sz w:val="24"/>
          <w:szCs w:val="24"/>
          <w:highlight w:val="none"/>
        </w:rPr>
      </w:pPr>
      <w:r>
        <w:rPr>
          <w:rFonts w:hint="eastAsia" w:ascii="仿宋" w:hAnsi="仿宋" w:eastAsia="仿宋" w:cs="仿宋"/>
          <w:snapToGrid w:val="0"/>
          <w:color w:val="auto"/>
          <w:sz w:val="24"/>
          <w:szCs w:val="24"/>
          <w:highlight w:val="none"/>
          <w:u w:val="none" w:color="595959"/>
        </w:rPr>
        <w:t>(4)</w:t>
      </w:r>
      <w:r>
        <w:rPr>
          <w:rFonts w:hint="eastAsia" w:ascii="仿宋" w:hAnsi="仿宋" w:eastAsia="仿宋" w:cs="仿宋"/>
          <w:snapToGrid w:val="0"/>
          <w:color w:val="auto"/>
          <w:kern w:val="0"/>
          <w:sz w:val="24"/>
          <w:szCs w:val="24"/>
          <w:highlight w:val="none"/>
        </w:rPr>
        <w:t>合同签订后</w:t>
      </w:r>
      <w:r>
        <w:rPr>
          <w:rFonts w:hint="eastAsia" w:ascii="仿宋" w:hAnsi="仿宋" w:eastAsia="仿宋" w:cs="仿宋"/>
          <w:snapToGrid w:val="0"/>
          <w:color w:val="auto"/>
          <w:kern w:val="0"/>
          <w:sz w:val="24"/>
          <w:szCs w:val="24"/>
          <w:highlight w:val="none"/>
          <w:u w:val="single"/>
        </w:rPr>
        <w:t xml:space="preserve">  </w:t>
      </w:r>
      <w:r>
        <w:rPr>
          <w:rFonts w:hint="eastAsia" w:ascii="仿宋" w:hAnsi="仿宋" w:eastAsia="仿宋" w:cs="仿宋"/>
          <w:snapToGrid w:val="0"/>
          <w:color w:val="auto"/>
          <w:kern w:val="0"/>
          <w:sz w:val="24"/>
          <w:szCs w:val="24"/>
          <w:highlight w:val="none"/>
        </w:rPr>
        <w:t>个工作日内支付首付款，付款比例为合同金额的</w:t>
      </w:r>
      <w:r>
        <w:rPr>
          <w:rFonts w:hint="eastAsia" w:ascii="仿宋" w:hAnsi="仿宋" w:eastAsia="仿宋" w:cs="仿宋"/>
          <w:snapToGrid w:val="0"/>
          <w:color w:val="auto"/>
          <w:kern w:val="0"/>
          <w:sz w:val="24"/>
          <w:szCs w:val="24"/>
          <w:highlight w:val="none"/>
          <w:u w:val="single"/>
        </w:rPr>
        <w:t xml:space="preserve">   </w:t>
      </w:r>
      <w:r>
        <w:rPr>
          <w:rFonts w:hint="eastAsia" w:ascii="仿宋" w:hAnsi="仿宋" w:eastAsia="仿宋" w:cs="仿宋"/>
          <w:snapToGrid w:val="0"/>
          <w:color w:val="auto"/>
          <w:kern w:val="0"/>
          <w:sz w:val="24"/>
          <w:szCs w:val="24"/>
          <w:highlight w:val="none"/>
        </w:rPr>
        <w:t>%，计人民币</w:t>
      </w:r>
      <w:r>
        <w:rPr>
          <w:rFonts w:hint="eastAsia" w:ascii="仿宋" w:hAnsi="仿宋" w:eastAsia="仿宋" w:cs="仿宋"/>
          <w:snapToGrid w:val="0"/>
          <w:color w:val="auto"/>
          <w:kern w:val="0"/>
          <w:sz w:val="24"/>
          <w:szCs w:val="24"/>
          <w:highlight w:val="none"/>
          <w:u w:val="single"/>
        </w:rPr>
        <w:t xml:space="preserve">        </w:t>
      </w:r>
      <w:r>
        <w:rPr>
          <w:rFonts w:hint="eastAsia" w:ascii="仿宋" w:hAnsi="仿宋" w:eastAsia="仿宋" w:cs="仿宋"/>
          <w:snapToGrid w:val="0"/>
          <w:color w:val="auto"/>
          <w:kern w:val="0"/>
          <w:sz w:val="24"/>
          <w:szCs w:val="24"/>
          <w:highlight w:val="none"/>
        </w:rPr>
        <w:t xml:space="preserve"> 整（￥</w:t>
      </w:r>
      <w:r>
        <w:rPr>
          <w:rFonts w:hint="eastAsia" w:ascii="仿宋" w:hAnsi="仿宋" w:eastAsia="仿宋" w:cs="仿宋"/>
          <w:snapToGrid w:val="0"/>
          <w:color w:val="auto"/>
          <w:kern w:val="0"/>
          <w:sz w:val="24"/>
          <w:szCs w:val="24"/>
          <w:highlight w:val="none"/>
          <w:u w:val="single"/>
        </w:rPr>
        <w:t xml:space="preserve">       </w:t>
      </w:r>
      <w:r>
        <w:rPr>
          <w:rFonts w:hint="eastAsia" w:ascii="仿宋" w:hAnsi="仿宋" w:eastAsia="仿宋" w:cs="仿宋"/>
          <w:snapToGrid w:val="0"/>
          <w:color w:val="auto"/>
          <w:kern w:val="0"/>
          <w:sz w:val="24"/>
          <w:szCs w:val="24"/>
          <w:highlight w:val="none"/>
        </w:rPr>
        <w:t>整），其余费用</w:t>
      </w:r>
      <w:r>
        <w:rPr>
          <w:rFonts w:hint="eastAsia" w:ascii="仿宋" w:hAnsi="仿宋" w:eastAsia="仿宋" w:cs="仿宋"/>
          <w:snapToGrid w:val="0"/>
          <w:color w:val="auto"/>
          <w:kern w:val="0"/>
          <w:sz w:val="24"/>
          <w:szCs w:val="24"/>
          <w:highlight w:val="none"/>
          <w:u w:val="single"/>
        </w:rPr>
        <w:t xml:space="preserve">          </w:t>
      </w:r>
      <w:r>
        <w:rPr>
          <w:rFonts w:hint="eastAsia" w:ascii="仿宋" w:hAnsi="仿宋" w:eastAsia="仿宋" w:cs="仿宋"/>
          <w:snapToGrid w:val="0"/>
          <w:color w:val="auto"/>
          <w:kern w:val="0"/>
          <w:sz w:val="24"/>
          <w:szCs w:val="24"/>
          <w:highlight w:val="none"/>
        </w:rPr>
        <w:t>按乙方实际进度工作量据实结算。</w:t>
      </w:r>
    </w:p>
    <w:p w14:paraId="5A366CE9">
      <w:pPr>
        <w:spacing w:line="380" w:lineRule="exact"/>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 xml:space="preserve">    6.2甲方在支付上述款项前，应收到乙方提供的与应付款项等额的税务发票。因乙方未能根据合同提交相应票据和资料，导致甲方未能如期付款的，甲方不承担延期付款责任。</w:t>
      </w:r>
    </w:p>
    <w:p w14:paraId="76CE1B3D">
      <w:pPr>
        <w:pStyle w:val="18"/>
        <w:snapToGrid w:val="0"/>
        <w:spacing w:line="380" w:lineRule="exact"/>
        <w:ind w:firstLine="354" w:firstLineChars="147"/>
        <w:rPr>
          <w:rFonts w:hint="eastAsia" w:ascii="仿宋" w:hAnsi="仿宋" w:eastAsia="仿宋" w:cs="仿宋"/>
          <w:b/>
          <w:snapToGrid w:val="0"/>
          <w:color w:val="auto"/>
          <w:sz w:val="24"/>
          <w:szCs w:val="24"/>
          <w:highlight w:val="none"/>
          <w:u w:val="none" w:color="595959"/>
        </w:rPr>
      </w:pPr>
      <w:r>
        <w:rPr>
          <w:rFonts w:hint="eastAsia" w:ascii="仿宋" w:hAnsi="仿宋" w:eastAsia="仿宋" w:cs="仿宋"/>
          <w:b/>
          <w:snapToGrid w:val="0"/>
          <w:color w:val="auto"/>
          <w:sz w:val="24"/>
          <w:szCs w:val="24"/>
          <w:highlight w:val="none"/>
          <w:u w:val="none" w:color="595959"/>
        </w:rPr>
        <w:t>七、争议与纠纷处理</w:t>
      </w:r>
    </w:p>
    <w:p w14:paraId="31071477">
      <w:pPr>
        <w:spacing w:line="380" w:lineRule="exact"/>
        <w:ind w:firstLine="480"/>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7.1 本合同执行过程中发生争议或纠纷时，由甲乙双方协商解决，若协商不成，双方一致同意采用以下第</w:t>
      </w: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rPr>
        <w:t>种</w:t>
      </w:r>
      <w:r>
        <w:rPr>
          <w:rFonts w:hint="eastAsia" w:ascii="仿宋" w:hAnsi="仿宋" w:eastAsia="仿宋" w:cs="仿宋"/>
          <w:snapToGrid w:val="0"/>
          <w:color w:val="auto"/>
          <w:kern w:val="0"/>
          <w:sz w:val="24"/>
          <w:szCs w:val="24"/>
          <w:highlight w:val="none"/>
          <w:u w:val="none" w:color="595959"/>
        </w:rPr>
        <w:t>方式处理：</w:t>
      </w:r>
    </w:p>
    <w:p w14:paraId="6D21705A">
      <w:pPr>
        <w:spacing w:line="380" w:lineRule="exact"/>
        <w:ind w:firstLine="480"/>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（1）申请仲裁，约定向甲方所在地仲裁委员会申请仲裁。</w:t>
      </w:r>
    </w:p>
    <w:p w14:paraId="62C820D2">
      <w:pPr>
        <w:spacing w:line="380" w:lineRule="exact"/>
        <w:ind w:firstLine="480"/>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（2）提起诉讼，约定向甲方所在地法院提起诉讼。</w:t>
      </w:r>
    </w:p>
    <w:p w14:paraId="5DD95A74">
      <w:pPr>
        <w:pStyle w:val="18"/>
        <w:snapToGrid w:val="0"/>
        <w:spacing w:line="380" w:lineRule="exact"/>
        <w:ind w:firstLine="354" w:firstLineChars="147"/>
        <w:rPr>
          <w:rFonts w:hint="eastAsia" w:ascii="仿宋" w:hAnsi="仿宋" w:eastAsia="仿宋" w:cs="仿宋"/>
          <w:b/>
          <w:snapToGrid w:val="0"/>
          <w:color w:val="auto"/>
          <w:sz w:val="24"/>
          <w:szCs w:val="24"/>
          <w:highlight w:val="none"/>
          <w:u w:val="none" w:color="595959"/>
        </w:rPr>
      </w:pPr>
      <w:r>
        <w:rPr>
          <w:rFonts w:hint="eastAsia" w:ascii="仿宋" w:hAnsi="仿宋" w:eastAsia="仿宋" w:cs="仿宋"/>
          <w:b/>
          <w:snapToGrid w:val="0"/>
          <w:color w:val="auto"/>
          <w:sz w:val="24"/>
          <w:szCs w:val="24"/>
          <w:highlight w:val="none"/>
          <w:u w:val="none" w:color="595959"/>
        </w:rPr>
        <w:t>八、知识产权</w:t>
      </w:r>
    </w:p>
    <w:p w14:paraId="199A38DC">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8.1 乙方应保证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p>
    <w:p w14:paraId="2EF2E082">
      <w:pPr>
        <w:pStyle w:val="18"/>
        <w:snapToGrid w:val="0"/>
        <w:spacing w:line="380" w:lineRule="exact"/>
        <w:ind w:firstLine="354" w:firstLineChars="147"/>
        <w:rPr>
          <w:rFonts w:hint="eastAsia" w:ascii="仿宋" w:hAnsi="仿宋" w:eastAsia="仿宋" w:cs="仿宋"/>
          <w:b/>
          <w:snapToGrid w:val="0"/>
          <w:color w:val="auto"/>
          <w:sz w:val="24"/>
          <w:szCs w:val="24"/>
          <w:highlight w:val="none"/>
          <w:u w:val="none" w:color="595959"/>
        </w:rPr>
      </w:pPr>
      <w:r>
        <w:rPr>
          <w:rFonts w:hint="eastAsia" w:ascii="仿宋" w:hAnsi="仿宋" w:eastAsia="仿宋" w:cs="仿宋"/>
          <w:b/>
          <w:snapToGrid w:val="0"/>
          <w:color w:val="auto"/>
          <w:sz w:val="24"/>
          <w:szCs w:val="24"/>
          <w:highlight w:val="none"/>
          <w:u w:val="none" w:color="595959"/>
        </w:rPr>
        <w:t>九、产权归属</w:t>
      </w:r>
    </w:p>
    <w:p w14:paraId="0EDC0F43">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9.1 本项目的成果形成的知识产权归属约定如下：</w:t>
      </w:r>
      <w:r>
        <w:rPr>
          <w:rFonts w:hint="eastAsia" w:ascii="仿宋" w:hAnsi="仿宋" w:eastAsia="仿宋" w:cs="仿宋"/>
          <w:snapToGrid w:val="0"/>
          <w:color w:val="auto"/>
          <w:sz w:val="24"/>
          <w:szCs w:val="24"/>
          <w:highlight w:val="none"/>
          <w:u w:val="single"/>
        </w:rPr>
        <w:t xml:space="preserve"> </w:t>
      </w:r>
      <w:r>
        <w:rPr>
          <w:rFonts w:hint="eastAsia" w:ascii="仿宋" w:hAnsi="仿宋" w:eastAsia="仿宋" w:cs="仿宋"/>
          <w:snapToGrid w:val="0"/>
          <w:color w:val="auto"/>
          <w:sz w:val="24"/>
          <w:szCs w:val="24"/>
          <w:highlight w:val="none"/>
          <w:u w:val="single"/>
          <w:lang w:eastAsia="zh-CN"/>
        </w:rPr>
        <w:t>归属于甲方</w:t>
      </w:r>
      <w:r>
        <w:rPr>
          <w:rFonts w:hint="eastAsia" w:ascii="仿宋" w:hAnsi="仿宋" w:eastAsia="仿宋" w:cs="仿宋"/>
          <w:snapToGrid w:val="0"/>
          <w:color w:val="auto"/>
          <w:sz w:val="24"/>
          <w:szCs w:val="24"/>
          <w:highlight w:val="none"/>
          <w:u w:val="none" w:color="595959"/>
        </w:rPr>
        <w:t>_。</w:t>
      </w:r>
    </w:p>
    <w:p w14:paraId="63E3E24C">
      <w:pPr>
        <w:pStyle w:val="18"/>
        <w:snapToGrid w:val="0"/>
        <w:spacing w:line="380" w:lineRule="exact"/>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如未约定，产权均归属于甲方。</w:t>
      </w:r>
    </w:p>
    <w:p w14:paraId="20851D92">
      <w:pPr>
        <w:pStyle w:val="18"/>
        <w:snapToGrid w:val="0"/>
        <w:spacing w:line="380" w:lineRule="exact"/>
        <w:ind w:firstLine="354" w:firstLineChars="147"/>
        <w:rPr>
          <w:rFonts w:hint="eastAsia" w:ascii="仿宋" w:hAnsi="仿宋" w:eastAsia="仿宋" w:cs="仿宋"/>
          <w:b/>
          <w:snapToGrid w:val="0"/>
          <w:color w:val="auto"/>
          <w:sz w:val="24"/>
          <w:szCs w:val="24"/>
          <w:highlight w:val="none"/>
          <w:u w:val="none" w:color="595959"/>
        </w:rPr>
      </w:pPr>
      <w:r>
        <w:rPr>
          <w:rFonts w:hint="eastAsia" w:ascii="仿宋" w:hAnsi="仿宋" w:eastAsia="仿宋" w:cs="仿宋"/>
          <w:b/>
          <w:snapToGrid w:val="0"/>
          <w:color w:val="auto"/>
          <w:sz w:val="24"/>
          <w:szCs w:val="24"/>
          <w:highlight w:val="none"/>
          <w:u w:val="none" w:color="595959"/>
        </w:rPr>
        <w:t>十、权利和义务</w:t>
      </w:r>
    </w:p>
    <w:p w14:paraId="3E962C75">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10.1 甲方权利</w:t>
      </w:r>
    </w:p>
    <w:p w14:paraId="41B1F59F">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10.1.1甲方有权对乙方依照合同提供的服务进行监督和检查。</w:t>
      </w:r>
    </w:p>
    <w:p w14:paraId="65FF29F6">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10.1.2甲方有权对所发现的问题进行调查和处理，若发现乙方完成的服务内容与合同约定不符的，甲方有权要求乙方限期整改，若造成甲方损失，还应承担违约责任。</w:t>
      </w:r>
    </w:p>
    <w:p w14:paraId="48C1B4B1">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10.2 甲方义务</w:t>
      </w:r>
    </w:p>
    <w:p w14:paraId="61E908EC">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10.2.1 在能力范围内，配合乙方履行本合同，尽量为乙方的履约提供必要的支持。</w:t>
      </w:r>
    </w:p>
    <w:p w14:paraId="2CF4E19D">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10.2.2 按照合同约定向乙方支付款项。</w:t>
      </w:r>
    </w:p>
    <w:p w14:paraId="5DF6FB54">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10.2.3 合同履行完毕后，及时组织验收。</w:t>
      </w:r>
    </w:p>
    <w:p w14:paraId="1E87A66C">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10.3 乙方权利</w:t>
      </w:r>
    </w:p>
    <w:p w14:paraId="6679F824">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10.3.1 乙方有权依约收取费用。</w:t>
      </w:r>
    </w:p>
    <w:p w14:paraId="10C9B1DF">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10.3.2 乙方有权拒绝甲方提出的除合同约定和乙方承诺以外的其他要求。</w:t>
      </w:r>
    </w:p>
    <w:p w14:paraId="426CE9EA">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10.3.3 乙方有权拒绝甲方在服务过程中的不正当要求和违规行为，并可以依法主张其合法权利。</w:t>
      </w:r>
    </w:p>
    <w:p w14:paraId="2A77E2FE">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10.4 乙方义务</w:t>
      </w:r>
    </w:p>
    <w:p w14:paraId="37B42A16">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10.4.1 严格执行国家的法律、法规，守法经营，按章办事，自觉维护甲方的利益。</w:t>
      </w:r>
    </w:p>
    <w:p w14:paraId="20EA9906">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10.4.2 接受甲方的检查、监督，严格履行服务承诺，做到诚实、守信。</w:t>
      </w:r>
    </w:p>
    <w:p w14:paraId="51ED8B13">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10.4.3按照响应文件的承诺以服务进程进行管理与控制，包括制定方案、合理配备工作人员、设施设备，按期组织实施，交付项目成果，保证服务项目质量。</w:t>
      </w:r>
    </w:p>
    <w:p w14:paraId="7ECE4FFE">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10.4.4乙方应严格按照安全标准进行本项目服务，并采取必要的安全防护措施。若需上路作业应按规定办理相关手续，确保本项目服务人员、车辆及设备等的安全。乙方在服务过程中发生的任何交通、生产事故造成财产损失或人员伤亡，以及与其他第三方发生的任何纠纷或事故，甲方一律不承担任何责任和费用。</w:t>
      </w:r>
    </w:p>
    <w:p w14:paraId="539790CC">
      <w:pPr>
        <w:pStyle w:val="18"/>
        <w:snapToGrid w:val="0"/>
        <w:spacing w:line="380" w:lineRule="exact"/>
        <w:ind w:firstLine="354"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b/>
          <w:snapToGrid w:val="0"/>
          <w:color w:val="auto"/>
          <w:sz w:val="24"/>
          <w:szCs w:val="24"/>
          <w:highlight w:val="none"/>
          <w:u w:val="none" w:color="595959"/>
        </w:rPr>
        <w:t>十一、违约责任</w:t>
      </w:r>
    </w:p>
    <w:p w14:paraId="25E63D89">
      <w:pPr>
        <w:autoSpaceDE w:val="0"/>
        <w:spacing w:line="380" w:lineRule="exact"/>
        <w:ind w:firstLine="480"/>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11.1如乙方未按合同约定，或未按照甲、乙双方最终商定的整改期限内完成本项目，每延期一日(或每发生一次)，甲方有权要求乙方向甲方支付合同总价</w:t>
      </w:r>
      <w:r>
        <w:rPr>
          <w:rFonts w:hint="eastAsia" w:ascii="仿宋" w:hAnsi="仿宋" w:eastAsia="仿宋" w:cs="仿宋"/>
          <w:snapToGrid w:val="0"/>
          <w:color w:val="auto"/>
          <w:kern w:val="0"/>
          <w:sz w:val="24"/>
          <w:szCs w:val="24"/>
          <w:highlight w:val="none"/>
          <w:u w:val="single" w:color="auto"/>
        </w:rPr>
        <w:t>0.5</w:t>
      </w:r>
      <w:r>
        <w:rPr>
          <w:rFonts w:hint="eastAsia" w:ascii="仿宋" w:hAnsi="仿宋" w:eastAsia="仿宋" w:cs="仿宋"/>
          <w:snapToGrid w:val="0"/>
          <w:color w:val="auto"/>
          <w:kern w:val="0"/>
          <w:sz w:val="24"/>
          <w:szCs w:val="24"/>
          <w:highlight w:val="none"/>
          <w:u w:val="none" w:color="595959"/>
        </w:rPr>
        <w:t>‰的违约金，但违约金的总数不超过合同总价的10％。如延期超过</w:t>
      </w: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u w:val="none" w:color="595959"/>
        </w:rPr>
        <w:t>日或者延误服务确认</w:t>
      </w:r>
    </w:p>
    <w:p w14:paraId="5FF1CEBB">
      <w:pPr>
        <w:autoSpaceDE w:val="0"/>
        <w:spacing w:line="380" w:lineRule="exact"/>
        <w:ind w:firstLine="480"/>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u w:val="none" w:color="595959"/>
        </w:rPr>
        <w:t>次，甲方有权解除合同，并要求乙方赔偿损失。</w:t>
      </w:r>
    </w:p>
    <w:p w14:paraId="0ED67DA9">
      <w:pPr>
        <w:autoSpaceDE w:val="0"/>
        <w:spacing w:line="380" w:lineRule="exact"/>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　　11.2如甲方未按合同约定的期限付款，每延期一日，乙方有权要求甲方支付合同总价</w:t>
      </w: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u w:val="none" w:color="595959"/>
        </w:rPr>
        <w:t>‰的违约金，但违约金的总数不超过合同总价的10％。如延期付款超过</w:t>
      </w:r>
      <w:r>
        <w:rPr>
          <w:rFonts w:hint="eastAsia" w:ascii="仿宋" w:hAnsi="仿宋" w:eastAsia="仿宋" w:cs="仿宋"/>
          <w:snapToGrid w:val="0"/>
          <w:color w:val="auto"/>
          <w:kern w:val="0"/>
          <w:sz w:val="24"/>
          <w:szCs w:val="24"/>
          <w:highlight w:val="none"/>
          <w:u w:val="single" w:color="595959"/>
        </w:rPr>
        <w:t xml:space="preserve">   </w:t>
      </w:r>
      <w:r>
        <w:rPr>
          <w:rFonts w:hint="eastAsia" w:ascii="仿宋" w:hAnsi="仿宋" w:eastAsia="仿宋" w:cs="仿宋"/>
          <w:snapToGrid w:val="0"/>
          <w:color w:val="auto"/>
          <w:kern w:val="0"/>
          <w:sz w:val="24"/>
          <w:szCs w:val="24"/>
          <w:highlight w:val="none"/>
          <w:u w:val="none" w:color="595959"/>
        </w:rPr>
        <w:t>日，乙方有权解除合同，并要求甲方赔偿损失。</w:t>
      </w:r>
    </w:p>
    <w:p w14:paraId="6AB02001">
      <w:pPr>
        <w:autoSpaceDE w:val="0"/>
        <w:spacing w:line="380" w:lineRule="exact"/>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　　11.3因乙方工作失误而造成的破坏或损失，乙方需承担赔偿或修复完好的责任，由此而发生的相关费用由乙方承担。</w:t>
      </w:r>
    </w:p>
    <w:p w14:paraId="140609D2">
      <w:pPr>
        <w:autoSpaceDE w:val="0"/>
        <w:spacing w:line="380" w:lineRule="exact"/>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　　11.4如因乙方服务工作不及时或者质量不能满足合同要求，造成影响的，甲方有权指定第三方进行服务，所发生费用全部由乙方承担。</w:t>
      </w:r>
    </w:p>
    <w:p w14:paraId="1EFD43FA">
      <w:pPr>
        <w:autoSpaceDE w:val="0"/>
        <w:spacing w:line="380" w:lineRule="exact"/>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　　11.5如发生违约事件，履约方要求违约方支付违约金时，应当以书面方式通知违约方，内容包括违约事件、违约金、支付时间和方式等，违约方在收到上述通知后，应当于7日内答复对方，并支付违约金。</w:t>
      </w:r>
    </w:p>
    <w:p w14:paraId="50E83B0E">
      <w:pPr>
        <w:autoSpaceDE w:val="0"/>
        <w:spacing w:line="380" w:lineRule="exact"/>
        <w:rPr>
          <w:rFonts w:hint="eastAsia" w:ascii="仿宋" w:hAnsi="仿宋" w:eastAsia="仿宋" w:cs="仿宋"/>
          <w:snapToGrid w:val="0"/>
          <w:color w:val="auto"/>
          <w:kern w:val="0"/>
          <w:sz w:val="24"/>
          <w:szCs w:val="24"/>
          <w:highlight w:val="none"/>
          <w:u w:val="single" w:color="595959"/>
        </w:rPr>
      </w:pPr>
      <w:r>
        <w:rPr>
          <w:rFonts w:hint="eastAsia" w:ascii="仿宋" w:hAnsi="仿宋" w:eastAsia="仿宋" w:cs="仿宋"/>
          <w:snapToGrid w:val="0"/>
          <w:color w:val="auto"/>
          <w:kern w:val="0"/>
          <w:sz w:val="24"/>
          <w:szCs w:val="24"/>
          <w:highlight w:val="none"/>
          <w:u w:val="none" w:color="595959"/>
        </w:rPr>
        <w:t>　　11.6其他违约责任约定：</w:t>
      </w:r>
      <w:r>
        <w:rPr>
          <w:rFonts w:hint="eastAsia" w:ascii="仿宋" w:hAnsi="仿宋" w:eastAsia="仿宋" w:cs="仿宋"/>
          <w:snapToGrid w:val="0"/>
          <w:color w:val="auto"/>
          <w:kern w:val="0"/>
          <w:sz w:val="24"/>
          <w:szCs w:val="24"/>
          <w:highlight w:val="none"/>
          <w:u w:val="single" w:color="595959"/>
        </w:rPr>
        <w:t xml:space="preserve">                                               </w:t>
      </w:r>
    </w:p>
    <w:p w14:paraId="0B2138D6">
      <w:pPr>
        <w:pStyle w:val="18"/>
        <w:snapToGrid w:val="0"/>
        <w:spacing w:line="380" w:lineRule="exact"/>
        <w:ind w:firstLine="354" w:firstLineChars="147"/>
        <w:rPr>
          <w:rFonts w:hint="eastAsia" w:ascii="仿宋" w:hAnsi="仿宋" w:eastAsia="仿宋" w:cs="仿宋"/>
          <w:b/>
          <w:snapToGrid w:val="0"/>
          <w:color w:val="auto"/>
          <w:sz w:val="24"/>
          <w:szCs w:val="24"/>
          <w:highlight w:val="none"/>
          <w:u w:val="none" w:color="595959"/>
        </w:rPr>
      </w:pPr>
      <w:r>
        <w:rPr>
          <w:rFonts w:hint="eastAsia" w:ascii="仿宋" w:hAnsi="仿宋" w:eastAsia="仿宋" w:cs="仿宋"/>
          <w:b/>
          <w:snapToGrid w:val="0"/>
          <w:color w:val="auto"/>
          <w:sz w:val="24"/>
          <w:szCs w:val="24"/>
          <w:highlight w:val="none"/>
          <w:u w:val="none" w:color="595959"/>
        </w:rPr>
        <w:t>十二、保密条款</w:t>
      </w:r>
    </w:p>
    <w:p w14:paraId="6E1ADDC6">
      <w:pPr>
        <w:spacing w:line="380" w:lineRule="exact"/>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 xml:space="preserve">    12.1乙方在履行合同过程中对获知甲方信息资料均负有保密责任，未经许可不得向第三方泄露。如违反本条款规定，应当承担相应的法律责任，但法定或约定应向司法机关或仲裁机构提供的除外。</w:t>
      </w:r>
    </w:p>
    <w:p w14:paraId="513FB8FD">
      <w:pPr>
        <w:spacing w:line="380" w:lineRule="exact"/>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 xml:space="preserve">    12.2乙方对所获得甲方的保密信息负有保密义务的期限为永久，不受本合同解除的限制，直至保密信息已进入公共渠道或甲方以书面形式明确表示无须再负保密义务为止。</w:t>
      </w:r>
    </w:p>
    <w:p w14:paraId="20AD0E3D">
      <w:pPr>
        <w:spacing w:line="380" w:lineRule="exact"/>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 xml:space="preserve">    12.3甲方有特殊保密要求的，应当另行签订保密协议，以保密协议的约定为准。</w:t>
      </w:r>
    </w:p>
    <w:p w14:paraId="483AF22B">
      <w:pPr>
        <w:pStyle w:val="18"/>
        <w:snapToGrid w:val="0"/>
        <w:spacing w:line="380" w:lineRule="exact"/>
        <w:ind w:firstLine="354" w:firstLineChars="147"/>
        <w:rPr>
          <w:rFonts w:hint="eastAsia" w:ascii="仿宋" w:hAnsi="仿宋" w:eastAsia="仿宋" w:cs="仿宋"/>
          <w:b/>
          <w:snapToGrid w:val="0"/>
          <w:color w:val="auto"/>
          <w:sz w:val="24"/>
          <w:szCs w:val="24"/>
          <w:highlight w:val="none"/>
          <w:u w:val="none" w:color="595959"/>
        </w:rPr>
      </w:pPr>
      <w:r>
        <w:rPr>
          <w:rFonts w:hint="eastAsia" w:ascii="仿宋" w:hAnsi="仿宋" w:eastAsia="仿宋" w:cs="仿宋"/>
          <w:b/>
          <w:snapToGrid w:val="0"/>
          <w:color w:val="auto"/>
          <w:sz w:val="24"/>
          <w:szCs w:val="24"/>
          <w:highlight w:val="none"/>
          <w:u w:val="none" w:color="595959"/>
        </w:rPr>
        <w:t>十三、转包或分包</w:t>
      </w:r>
    </w:p>
    <w:p w14:paraId="3924E453">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13.1 本合同范围内的服务，应由乙方直接组织实施，不得转让他人。</w:t>
      </w:r>
    </w:p>
    <w:p w14:paraId="04F15883">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13.2 除非得到甲方的书面同意，乙方不得分包给他人。</w:t>
      </w:r>
    </w:p>
    <w:p w14:paraId="17EB07C7">
      <w:pPr>
        <w:pStyle w:val="18"/>
        <w:snapToGrid w:val="0"/>
        <w:spacing w:line="380" w:lineRule="exact"/>
        <w:ind w:firstLine="354" w:firstLineChars="147"/>
        <w:rPr>
          <w:rFonts w:hint="eastAsia" w:ascii="仿宋" w:hAnsi="仿宋" w:eastAsia="仿宋" w:cs="仿宋"/>
          <w:b/>
          <w:snapToGrid w:val="0"/>
          <w:color w:val="auto"/>
          <w:sz w:val="24"/>
          <w:szCs w:val="24"/>
          <w:highlight w:val="none"/>
          <w:u w:val="none" w:color="595959"/>
        </w:rPr>
      </w:pPr>
      <w:r>
        <w:rPr>
          <w:rFonts w:hint="eastAsia" w:ascii="仿宋" w:hAnsi="仿宋" w:eastAsia="仿宋" w:cs="仿宋"/>
          <w:b/>
          <w:snapToGrid w:val="0"/>
          <w:color w:val="auto"/>
          <w:sz w:val="24"/>
          <w:szCs w:val="24"/>
          <w:highlight w:val="none"/>
          <w:u w:val="none" w:color="595959"/>
        </w:rPr>
        <w:t>十四、履约担保</w:t>
      </w:r>
    </w:p>
    <w:p w14:paraId="08DB63DA">
      <w:pPr>
        <w:pStyle w:val="18"/>
        <w:snapToGrid w:val="0"/>
        <w:spacing w:line="380" w:lineRule="exact"/>
        <w:ind w:firstLine="352" w:firstLineChars="14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 xml:space="preserve"> 14.1 本合同履约担保按照以下第_____种方式提供：</w:t>
      </w:r>
    </w:p>
    <w:p w14:paraId="184E42F9">
      <w:pPr>
        <w:pStyle w:val="18"/>
        <w:snapToGrid w:val="0"/>
        <w:spacing w:line="380" w:lineRule="exact"/>
        <w:ind w:firstLine="472" w:firstLineChars="19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 乙方不提供履约担保。</w:t>
      </w:r>
    </w:p>
    <w:p w14:paraId="0A143BB9">
      <w:pPr>
        <w:pStyle w:val="18"/>
        <w:snapToGrid w:val="0"/>
        <w:spacing w:line="380" w:lineRule="exact"/>
        <w:ind w:firstLine="472" w:firstLineChars="197"/>
        <w:jc w:val="left"/>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(2) 乙方提供银行保函，保函金额为合同金额的</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none" w:color="595959"/>
        </w:rPr>
        <w:t>%,</w:t>
      </w:r>
      <w:r>
        <w:rPr>
          <w:rFonts w:hint="eastAsia" w:ascii="仿宋" w:hAnsi="仿宋" w:eastAsia="仿宋" w:cs="仿宋"/>
          <w:snapToGrid w:val="0"/>
          <w:color w:val="auto"/>
          <w:sz w:val="24"/>
          <w:szCs w:val="24"/>
          <w:highlight w:val="none"/>
        </w:rPr>
        <w:t>计人民币</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rPr>
        <w:t>整，</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none" w:color="595959"/>
        </w:rPr>
        <w:t>（￥</w:t>
      </w:r>
      <w:r>
        <w:rPr>
          <w:rFonts w:hint="eastAsia" w:ascii="仿宋" w:hAnsi="仿宋" w:eastAsia="仿宋" w:cs="仿宋"/>
          <w:snapToGrid w:val="0"/>
          <w:color w:val="auto"/>
          <w:sz w:val="24"/>
          <w:szCs w:val="24"/>
          <w:highlight w:val="none"/>
          <w:u w:val="single" w:color="595959"/>
        </w:rPr>
        <w:t xml:space="preserve">        </w:t>
      </w:r>
      <w:r>
        <w:rPr>
          <w:rFonts w:hint="eastAsia" w:ascii="仿宋" w:hAnsi="仿宋" w:eastAsia="仿宋" w:cs="仿宋"/>
          <w:snapToGrid w:val="0"/>
          <w:color w:val="auto"/>
          <w:sz w:val="24"/>
          <w:szCs w:val="24"/>
          <w:highlight w:val="none"/>
          <w:u w:val="none" w:color="595959"/>
        </w:rPr>
        <w:t>整），到期日为_______。</w:t>
      </w:r>
    </w:p>
    <w:p w14:paraId="382A3FC9">
      <w:pPr>
        <w:pStyle w:val="18"/>
        <w:snapToGrid w:val="0"/>
        <w:spacing w:line="380" w:lineRule="exact"/>
        <w:ind w:firstLine="472" w:firstLineChars="197"/>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(3) 乙方采用银行汇票、转账支票或电汇方式缴纳履约保证金，金额为人民币__________整，在合同签订前___个工作日内一次性缴纳。合同履行结束后___个工作日内，将履约保证金退还给乙方（无息退还）。如乙方违反合同约定，甲方有权根据合同条款从履约保证金中扣除相应的违约金额。</w:t>
      </w:r>
    </w:p>
    <w:p w14:paraId="071046CF">
      <w:pPr>
        <w:pStyle w:val="18"/>
        <w:snapToGrid w:val="0"/>
        <w:spacing w:line="380" w:lineRule="exact"/>
        <w:ind w:firstLine="480"/>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若根据合同约定或因其它任何原因使该项履约保证金被甲方扣除或经协商抵扣或用于赔偿甲方及/或第三方损失等情形减少而不足本合同履约保证金规定数目的，乙方应当在该情形出现之日起3个工作日内日内将其补足。</w:t>
      </w:r>
    </w:p>
    <w:p w14:paraId="5DC77330">
      <w:pPr>
        <w:pStyle w:val="18"/>
        <w:snapToGrid w:val="0"/>
        <w:spacing w:line="380" w:lineRule="exact"/>
        <w:ind w:firstLine="354" w:firstLineChars="147"/>
        <w:rPr>
          <w:rFonts w:hint="eastAsia" w:ascii="仿宋" w:hAnsi="仿宋" w:eastAsia="仿宋" w:cs="仿宋"/>
          <w:b/>
          <w:snapToGrid w:val="0"/>
          <w:color w:val="auto"/>
          <w:sz w:val="24"/>
          <w:szCs w:val="24"/>
          <w:highlight w:val="none"/>
          <w:u w:val="none" w:color="595959"/>
        </w:rPr>
      </w:pPr>
      <w:r>
        <w:rPr>
          <w:rFonts w:hint="eastAsia" w:ascii="仿宋" w:hAnsi="仿宋" w:eastAsia="仿宋" w:cs="仿宋"/>
          <w:b/>
          <w:snapToGrid w:val="0"/>
          <w:color w:val="auto"/>
          <w:sz w:val="24"/>
          <w:szCs w:val="24"/>
          <w:highlight w:val="none"/>
          <w:u w:val="none" w:color="595959"/>
        </w:rPr>
        <w:t>十五、其他条款</w:t>
      </w:r>
    </w:p>
    <w:p w14:paraId="1D177C55">
      <w:pPr>
        <w:pStyle w:val="18"/>
        <w:snapToGrid w:val="0"/>
        <w:spacing w:line="380" w:lineRule="exact"/>
        <w:rPr>
          <w:rFonts w:hint="eastAsia" w:ascii="仿宋" w:hAnsi="仿宋" w:eastAsia="仿宋" w:cs="仿宋"/>
          <w:b/>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 xml:space="preserve">     </w:t>
      </w:r>
      <w:r>
        <w:rPr>
          <w:rFonts w:hint="eastAsia" w:ascii="仿宋" w:hAnsi="仿宋" w:eastAsia="仿宋" w:cs="仿宋"/>
          <w:snapToGrid w:val="0"/>
          <w:color w:val="auto"/>
          <w:sz w:val="24"/>
          <w:szCs w:val="24"/>
          <w:highlight w:val="none"/>
          <w:u w:val="single" w:color="595959"/>
        </w:rPr>
        <w:t xml:space="preserve">                                                                    </w:t>
      </w:r>
    </w:p>
    <w:p w14:paraId="0FC209B9">
      <w:pPr>
        <w:spacing w:line="380" w:lineRule="exact"/>
        <w:ind w:firstLine="480"/>
        <w:rPr>
          <w:rFonts w:hint="eastAsia" w:ascii="仿宋" w:hAnsi="仿宋" w:eastAsia="仿宋" w:cs="仿宋"/>
          <w:b/>
          <w:snapToGrid w:val="0"/>
          <w:color w:val="auto"/>
          <w:sz w:val="24"/>
          <w:szCs w:val="24"/>
          <w:highlight w:val="none"/>
          <w:u w:val="none" w:color="595959"/>
        </w:rPr>
      </w:pPr>
      <w:r>
        <w:rPr>
          <w:rFonts w:hint="eastAsia" w:ascii="仿宋" w:hAnsi="仿宋" w:eastAsia="仿宋" w:cs="仿宋"/>
          <w:b/>
          <w:snapToGrid w:val="0"/>
          <w:color w:val="auto"/>
          <w:sz w:val="24"/>
          <w:szCs w:val="24"/>
          <w:highlight w:val="none"/>
          <w:u w:val="none" w:color="595959"/>
        </w:rPr>
        <w:t>十六、组成本合同的文件</w:t>
      </w:r>
    </w:p>
    <w:p w14:paraId="1EE85DCA">
      <w:pPr>
        <w:spacing w:line="380" w:lineRule="exact"/>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　　16.1 合同及附件；</w:t>
      </w:r>
    </w:p>
    <w:p w14:paraId="65CE5647">
      <w:pPr>
        <w:spacing w:line="380" w:lineRule="exact"/>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　　16.2成交通知书；</w:t>
      </w:r>
    </w:p>
    <w:p w14:paraId="566C4433">
      <w:pPr>
        <w:spacing w:line="380" w:lineRule="exact"/>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　　16.3采购文件和乙方的响应文件；</w:t>
      </w:r>
    </w:p>
    <w:p w14:paraId="56F8BB55">
      <w:pPr>
        <w:spacing w:line="380" w:lineRule="exact"/>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　　16.4采购过程中有关补充资料和澄清文件等（如有）；</w:t>
      </w:r>
    </w:p>
    <w:p w14:paraId="6A42652E">
      <w:pPr>
        <w:spacing w:line="380" w:lineRule="exact"/>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　　16.5 甲乙双方商定的其他必要文件。</w:t>
      </w:r>
    </w:p>
    <w:p w14:paraId="34B7E290">
      <w:pPr>
        <w:spacing w:line="380" w:lineRule="exact"/>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　　上述文件内容互为补充，如有不明确，由甲方负责解释。</w:t>
      </w:r>
    </w:p>
    <w:p w14:paraId="1E9AD094">
      <w:pPr>
        <w:pStyle w:val="51"/>
        <w:spacing w:line="380" w:lineRule="exact"/>
        <w:ind w:firstLine="0" w:firstLineChars="0"/>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b/>
          <w:snapToGrid w:val="0"/>
          <w:color w:val="auto"/>
          <w:sz w:val="24"/>
          <w:szCs w:val="24"/>
          <w:highlight w:val="none"/>
          <w:u w:val="none" w:color="595959"/>
        </w:rPr>
        <w:t>　　十七、</w:t>
      </w:r>
      <w:r>
        <w:rPr>
          <w:rFonts w:hint="eastAsia" w:ascii="仿宋" w:hAnsi="仿宋" w:eastAsia="仿宋" w:cs="仿宋"/>
          <w:b/>
          <w:snapToGrid w:val="0"/>
          <w:color w:val="auto"/>
          <w:kern w:val="0"/>
          <w:sz w:val="24"/>
          <w:szCs w:val="24"/>
          <w:highlight w:val="none"/>
          <w:u w:val="none" w:color="595959"/>
        </w:rPr>
        <w:t>不可抗力</w:t>
      </w:r>
    </w:p>
    <w:p w14:paraId="5BEB834F">
      <w:pPr>
        <w:pStyle w:val="51"/>
        <w:spacing w:line="380" w:lineRule="exact"/>
        <w:ind w:firstLine="0" w:firstLineChars="0"/>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　　17.1当事人一方因不可抗力不能履行合同的，应当及时通知对方，并积极采取措施以减轻或消除可能给对方造成的损失，并在事件结束后7个自然日内提供事实性证明。</w:t>
      </w:r>
    </w:p>
    <w:p w14:paraId="1682BDDE">
      <w:pPr>
        <w:pStyle w:val="51"/>
        <w:spacing w:line="380" w:lineRule="exact"/>
        <w:ind w:firstLine="0" w:firstLineChars="0"/>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　　17.2因不可抗力不能履行合同的，根据不可抗力的影响，部分或者全部（由双方</w:t>
      </w:r>
    </w:p>
    <w:p w14:paraId="4993B44D">
      <w:pPr>
        <w:pStyle w:val="51"/>
        <w:spacing w:line="380" w:lineRule="exact"/>
        <w:ind w:firstLine="0" w:firstLineChars="0"/>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协商确定）免除责任，但法律另有规定的除外。当事人迟延履行合同后发生不可抗力的，不能免除责任。</w:t>
      </w:r>
    </w:p>
    <w:p w14:paraId="27C65AF6">
      <w:pPr>
        <w:pStyle w:val="51"/>
        <w:spacing w:line="380" w:lineRule="exact"/>
        <w:ind w:firstLine="0" w:firstLineChars="0"/>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　　17.3因不可抗力使合同不能如期履行时，由双方协商确定是否延期履行或终止本</w:t>
      </w:r>
    </w:p>
    <w:p w14:paraId="28D851A4">
      <w:pPr>
        <w:pStyle w:val="51"/>
        <w:spacing w:line="380" w:lineRule="exact"/>
        <w:ind w:firstLine="0" w:firstLineChars="0"/>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合同。</w:t>
      </w:r>
    </w:p>
    <w:p w14:paraId="375B425A">
      <w:pPr>
        <w:pStyle w:val="18"/>
        <w:snapToGrid w:val="0"/>
        <w:spacing w:line="380" w:lineRule="exact"/>
        <w:ind w:firstLine="354" w:firstLineChars="147"/>
        <w:rPr>
          <w:rFonts w:hint="eastAsia" w:ascii="仿宋" w:hAnsi="仿宋" w:eastAsia="仿宋" w:cs="仿宋"/>
          <w:b/>
          <w:snapToGrid w:val="0"/>
          <w:color w:val="auto"/>
          <w:sz w:val="24"/>
          <w:szCs w:val="24"/>
          <w:highlight w:val="none"/>
          <w:u w:val="none" w:color="595959"/>
        </w:rPr>
      </w:pPr>
      <w:r>
        <w:rPr>
          <w:rFonts w:hint="eastAsia" w:ascii="仿宋" w:hAnsi="仿宋" w:eastAsia="仿宋" w:cs="仿宋"/>
          <w:b/>
          <w:snapToGrid w:val="0"/>
          <w:color w:val="auto"/>
          <w:sz w:val="24"/>
          <w:szCs w:val="24"/>
          <w:highlight w:val="none"/>
          <w:u w:val="none" w:color="595959"/>
        </w:rPr>
        <w:t>十八、合同生效及其他</w:t>
      </w:r>
    </w:p>
    <w:p w14:paraId="3ABEC8A1">
      <w:pPr>
        <w:pStyle w:val="18"/>
        <w:snapToGrid w:val="0"/>
        <w:spacing w:line="380" w:lineRule="exact"/>
        <w:ind w:firstLine="352" w:firstLineChars="147"/>
        <w:rPr>
          <w:rFonts w:hint="eastAsia" w:ascii="仿宋" w:hAnsi="仿宋" w:eastAsia="仿宋" w:cs="仿宋"/>
          <w:b/>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18.1 合同经双方法定代表人或授权委托代表人签字并加盖单位公章后生效。</w:t>
      </w:r>
    </w:p>
    <w:p w14:paraId="0CDAC1F5">
      <w:pPr>
        <w:pStyle w:val="18"/>
        <w:snapToGrid w:val="0"/>
        <w:spacing w:line="380" w:lineRule="exact"/>
        <w:ind w:firstLine="352" w:firstLineChars="147"/>
        <w:rPr>
          <w:rFonts w:hint="eastAsia" w:ascii="仿宋" w:hAnsi="仿宋" w:eastAsia="仿宋" w:cs="仿宋"/>
          <w:b/>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18.2 本合同未尽事宜，遵照国家合同相关法律法规执行。</w:t>
      </w:r>
    </w:p>
    <w:p w14:paraId="76D7C222">
      <w:pPr>
        <w:spacing w:line="380" w:lineRule="exact"/>
        <w:jc w:val="left"/>
        <w:rPr>
          <w:rFonts w:hint="eastAsia" w:ascii="仿宋" w:hAnsi="仿宋" w:eastAsia="仿宋" w:cs="仿宋"/>
          <w:snapToGrid w:val="0"/>
          <w:color w:val="auto"/>
          <w:kern w:val="0"/>
          <w:sz w:val="24"/>
          <w:szCs w:val="24"/>
          <w:highlight w:val="none"/>
          <w:u w:val="none" w:color="595959"/>
        </w:rPr>
      </w:pPr>
      <w:r>
        <w:rPr>
          <w:rFonts w:hint="eastAsia" w:ascii="仿宋" w:hAnsi="仿宋" w:eastAsia="仿宋" w:cs="仿宋"/>
          <w:snapToGrid w:val="0"/>
          <w:color w:val="auto"/>
          <w:kern w:val="0"/>
          <w:sz w:val="24"/>
          <w:szCs w:val="24"/>
          <w:highlight w:val="none"/>
          <w:u w:val="none" w:color="595959"/>
        </w:rPr>
        <w:t xml:space="preserve">    18. 3 本合同一式六份，具有同等法律效力，中文书写。甲乙双方各执三份。</w:t>
      </w:r>
    </w:p>
    <w:p w14:paraId="0CB8894A">
      <w:pPr>
        <w:pStyle w:val="18"/>
        <w:snapToGrid w:val="0"/>
        <w:spacing w:line="376" w:lineRule="exact"/>
        <w:ind w:firstLine="319" w:firstLineChars="133"/>
        <w:rPr>
          <w:rFonts w:hint="eastAsia" w:ascii="仿宋" w:hAnsi="仿宋" w:eastAsia="仿宋" w:cs="仿宋"/>
          <w:snapToGrid w:val="0"/>
          <w:color w:val="auto"/>
          <w:sz w:val="24"/>
          <w:szCs w:val="24"/>
          <w:highlight w:val="none"/>
          <w:u w:val="none" w:color="595959"/>
        </w:rPr>
      </w:pPr>
    </w:p>
    <w:p w14:paraId="666983B0">
      <w:pPr>
        <w:pStyle w:val="18"/>
        <w:snapToGrid w:val="0"/>
        <w:spacing w:line="300" w:lineRule="exact"/>
        <w:ind w:firstLine="319" w:firstLineChars="133"/>
        <w:rPr>
          <w:rFonts w:hint="eastAsia" w:ascii="仿宋" w:hAnsi="仿宋" w:eastAsia="仿宋" w:cs="仿宋"/>
          <w:snapToGrid w:val="0"/>
          <w:color w:val="auto"/>
          <w:sz w:val="24"/>
          <w:szCs w:val="24"/>
          <w:highlight w:val="none"/>
          <w:u w:val="none" w:color="595959"/>
        </w:rPr>
      </w:pPr>
    </w:p>
    <w:p w14:paraId="37136819">
      <w:pPr>
        <w:pStyle w:val="18"/>
        <w:snapToGrid w:val="0"/>
        <w:spacing w:line="300" w:lineRule="exact"/>
        <w:ind w:firstLine="319" w:firstLineChars="133"/>
        <w:rPr>
          <w:rFonts w:hint="eastAsia" w:ascii="仿宋" w:hAnsi="仿宋" w:eastAsia="仿宋" w:cs="仿宋"/>
          <w:snapToGrid w:val="0"/>
          <w:color w:val="auto"/>
          <w:sz w:val="24"/>
          <w:szCs w:val="24"/>
          <w:highlight w:val="none"/>
          <w:u w:val="none" w:color="595959"/>
        </w:rPr>
      </w:pPr>
    </w:p>
    <w:p w14:paraId="62FCF46B">
      <w:pPr>
        <w:pStyle w:val="18"/>
        <w:snapToGrid w:val="0"/>
        <w:spacing w:line="300" w:lineRule="exact"/>
        <w:ind w:firstLine="319" w:firstLineChars="133"/>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甲方（单位盖章）：                    乙方（单位盖章）：</w:t>
      </w:r>
    </w:p>
    <w:p w14:paraId="238DACE9">
      <w:pPr>
        <w:pStyle w:val="18"/>
        <w:snapToGrid w:val="0"/>
        <w:spacing w:line="300" w:lineRule="exact"/>
        <w:ind w:firstLine="319" w:firstLineChars="133"/>
        <w:rPr>
          <w:rFonts w:hint="eastAsia" w:ascii="仿宋" w:hAnsi="仿宋" w:eastAsia="仿宋" w:cs="仿宋"/>
          <w:snapToGrid w:val="0"/>
          <w:color w:val="auto"/>
          <w:sz w:val="24"/>
          <w:szCs w:val="24"/>
          <w:highlight w:val="none"/>
          <w:u w:val="none" w:color="595959"/>
        </w:rPr>
      </w:pPr>
    </w:p>
    <w:p w14:paraId="72F5C1BF">
      <w:pPr>
        <w:pStyle w:val="18"/>
        <w:snapToGrid w:val="0"/>
        <w:spacing w:line="300" w:lineRule="exact"/>
        <w:ind w:firstLine="319" w:firstLineChars="133"/>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统一社会信用代码：                    统一社会信用代码：</w:t>
      </w:r>
    </w:p>
    <w:p w14:paraId="6FA21CC3">
      <w:pPr>
        <w:pStyle w:val="18"/>
        <w:snapToGrid w:val="0"/>
        <w:spacing w:line="300" w:lineRule="exact"/>
        <w:ind w:firstLine="319" w:firstLineChars="133"/>
        <w:rPr>
          <w:rFonts w:hint="eastAsia" w:ascii="仿宋" w:hAnsi="仿宋" w:eastAsia="仿宋" w:cs="仿宋"/>
          <w:snapToGrid w:val="0"/>
          <w:color w:val="auto"/>
          <w:sz w:val="24"/>
          <w:szCs w:val="24"/>
          <w:highlight w:val="none"/>
          <w:u w:val="none" w:color="595959"/>
        </w:rPr>
      </w:pPr>
    </w:p>
    <w:p w14:paraId="261A26AF">
      <w:pPr>
        <w:pStyle w:val="18"/>
        <w:snapToGrid w:val="0"/>
        <w:spacing w:line="300" w:lineRule="exact"/>
        <w:ind w:firstLine="319" w:firstLineChars="133"/>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单位住所地：                          单位住所地：</w:t>
      </w:r>
    </w:p>
    <w:p w14:paraId="1DEE9BA8">
      <w:pPr>
        <w:pStyle w:val="18"/>
        <w:snapToGrid w:val="0"/>
        <w:spacing w:line="300" w:lineRule="exact"/>
        <w:ind w:firstLine="319" w:firstLineChars="133"/>
        <w:rPr>
          <w:rFonts w:hint="eastAsia" w:ascii="仿宋" w:hAnsi="仿宋" w:eastAsia="仿宋" w:cs="仿宋"/>
          <w:snapToGrid w:val="0"/>
          <w:color w:val="auto"/>
          <w:sz w:val="24"/>
          <w:szCs w:val="24"/>
          <w:highlight w:val="none"/>
          <w:u w:val="none" w:color="595959"/>
        </w:rPr>
      </w:pPr>
    </w:p>
    <w:p w14:paraId="5526DDDE">
      <w:pPr>
        <w:pStyle w:val="18"/>
        <w:snapToGrid w:val="0"/>
        <w:spacing w:line="300" w:lineRule="exact"/>
        <w:ind w:firstLine="319" w:firstLineChars="133"/>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法定代表人或授权代表：                法定代表人或授权代表：</w:t>
      </w:r>
    </w:p>
    <w:p w14:paraId="4CEC6BBF">
      <w:pPr>
        <w:pStyle w:val="18"/>
        <w:snapToGrid w:val="0"/>
        <w:spacing w:line="300" w:lineRule="exact"/>
        <w:ind w:firstLine="319" w:firstLineChars="133"/>
        <w:rPr>
          <w:rFonts w:hint="eastAsia" w:ascii="仿宋" w:hAnsi="仿宋" w:eastAsia="仿宋" w:cs="仿宋"/>
          <w:snapToGrid w:val="0"/>
          <w:color w:val="auto"/>
          <w:sz w:val="24"/>
          <w:szCs w:val="24"/>
          <w:highlight w:val="none"/>
          <w:u w:val="none" w:color="595959"/>
        </w:rPr>
      </w:pPr>
    </w:p>
    <w:p w14:paraId="32365C8B">
      <w:pPr>
        <w:pStyle w:val="18"/>
        <w:snapToGrid w:val="0"/>
        <w:spacing w:line="300" w:lineRule="exact"/>
        <w:ind w:firstLine="319" w:firstLineChars="133"/>
        <w:rPr>
          <w:rFonts w:hint="eastAsia" w:ascii="仿宋" w:hAnsi="仿宋" w:eastAsia="仿宋" w:cs="仿宋"/>
          <w:snapToGrid w:val="0"/>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联系电话：                            联系电话：</w:t>
      </w:r>
    </w:p>
    <w:p w14:paraId="70F7D7AE">
      <w:pPr>
        <w:pStyle w:val="18"/>
        <w:snapToGrid w:val="0"/>
        <w:spacing w:line="300" w:lineRule="exact"/>
        <w:ind w:left="3009" w:leftChars="133" w:hanging="2730" w:hangingChars="1300"/>
        <w:rPr>
          <w:rFonts w:hint="eastAsia" w:ascii="仿宋" w:hAnsi="仿宋" w:eastAsia="仿宋" w:cs="仿宋"/>
          <w:snapToGrid w:val="0"/>
          <w:color w:val="auto"/>
          <w:sz w:val="21"/>
          <w:highlight w:val="none"/>
          <w:u w:val="none" w:color="595959"/>
        </w:rPr>
      </w:pPr>
      <w:r>
        <w:rPr>
          <w:rFonts w:hint="eastAsia" w:ascii="仿宋" w:hAnsi="仿宋" w:eastAsia="仿宋" w:cs="仿宋"/>
          <w:snapToGrid w:val="0"/>
          <w:color w:val="auto"/>
          <w:sz w:val="21"/>
          <w:highlight w:val="none"/>
          <w:u w:val="none" w:color="595959"/>
        </w:rPr>
        <w:t xml:space="preserve">                                                                                   </w:t>
      </w:r>
    </w:p>
    <w:p w14:paraId="66586151">
      <w:pPr>
        <w:pStyle w:val="18"/>
        <w:snapToGrid w:val="0"/>
        <w:spacing w:line="300" w:lineRule="exact"/>
        <w:ind w:left="3399" w:leftChars="133" w:hanging="3120" w:hangingChars="1300"/>
        <w:rPr>
          <w:rFonts w:hint="eastAsia" w:ascii="仿宋" w:hAnsi="仿宋" w:eastAsia="仿宋" w:cs="仿宋"/>
          <w:color w:val="auto"/>
          <w:sz w:val="24"/>
          <w:szCs w:val="24"/>
          <w:highlight w:val="none"/>
          <w:u w:val="none" w:color="595959"/>
        </w:rPr>
      </w:pPr>
      <w:r>
        <w:rPr>
          <w:rFonts w:hint="eastAsia" w:ascii="仿宋" w:hAnsi="仿宋" w:eastAsia="仿宋" w:cs="仿宋"/>
          <w:snapToGrid w:val="0"/>
          <w:color w:val="auto"/>
          <w:sz w:val="24"/>
          <w:szCs w:val="24"/>
          <w:highlight w:val="none"/>
          <w:u w:val="none" w:color="595959"/>
        </w:rPr>
        <w:t>签订日期：     年</w:t>
      </w:r>
      <w:r>
        <w:rPr>
          <w:rFonts w:hint="eastAsia" w:ascii="仿宋" w:hAnsi="仿宋" w:eastAsia="仿宋" w:cs="仿宋"/>
          <w:color w:val="auto"/>
          <w:sz w:val="24"/>
          <w:szCs w:val="24"/>
          <w:highlight w:val="none"/>
          <w:u w:val="none" w:color="595959"/>
        </w:rPr>
        <w:t xml:space="preserve">   月  日  　  </w:t>
      </w:r>
      <w:r>
        <w:rPr>
          <w:rFonts w:hint="eastAsia" w:ascii="仿宋" w:hAnsi="仿宋" w:eastAsia="仿宋" w:cs="仿宋"/>
          <w:snapToGrid w:val="0"/>
          <w:color w:val="auto"/>
          <w:sz w:val="24"/>
          <w:szCs w:val="24"/>
          <w:highlight w:val="none"/>
          <w:u w:val="none" w:color="595959"/>
        </w:rPr>
        <w:t>签订日期：      年</w:t>
      </w:r>
      <w:r>
        <w:rPr>
          <w:rFonts w:hint="eastAsia" w:ascii="仿宋" w:hAnsi="仿宋" w:eastAsia="仿宋" w:cs="仿宋"/>
          <w:color w:val="auto"/>
          <w:sz w:val="24"/>
          <w:szCs w:val="24"/>
          <w:highlight w:val="none"/>
          <w:u w:val="none" w:color="595959"/>
        </w:rPr>
        <w:t xml:space="preserve">   月  日</w:t>
      </w:r>
    </w:p>
    <w:p w14:paraId="4A526930">
      <w:pPr>
        <w:rPr>
          <w:rFonts w:ascii="仿宋" w:hAnsi="仿宋" w:eastAsia="仿宋" w:cs="仿宋"/>
          <w:bCs/>
          <w:color w:val="auto"/>
          <w:sz w:val="44"/>
          <w:highlight w:val="none"/>
        </w:rPr>
        <w:sectPr>
          <w:headerReference r:id="rId9" w:type="default"/>
          <w:footerReference r:id="rId10" w:type="default"/>
          <w:pgSz w:w="11906" w:h="16838"/>
          <w:pgMar w:top="1440" w:right="1080" w:bottom="1440" w:left="1080" w:header="851" w:footer="907" w:gutter="0"/>
          <w:pgNumType w:fmt="decimal"/>
          <w:cols w:space="720" w:num="1"/>
          <w:docGrid w:linePitch="360" w:charSpace="0"/>
        </w:sectPr>
      </w:pPr>
      <w:r>
        <w:rPr>
          <w:rFonts w:hint="eastAsia" w:ascii="仿宋" w:hAnsi="仿宋" w:eastAsia="仿宋" w:cs="仿宋"/>
          <w:bCs/>
          <w:color w:val="auto"/>
          <w:sz w:val="44"/>
          <w:highlight w:val="none"/>
        </w:rPr>
        <w:br w:type="page" w:clear="all"/>
      </w:r>
    </w:p>
    <w:p w14:paraId="1B6C0ECE">
      <w:pPr>
        <w:widowControl/>
        <w:overflowPunct/>
        <w:spacing w:line="240" w:lineRule="auto"/>
        <w:ind w:firstLine="0" w:firstLineChars="0"/>
        <w:jc w:val="left"/>
        <w:rPr>
          <w:rFonts w:hint="eastAsia" w:ascii="仿宋" w:hAnsi="仿宋" w:eastAsia="仿宋" w:cs="仿宋"/>
          <w:b/>
          <w:bCs/>
          <w:color w:val="auto"/>
          <w:sz w:val="24"/>
          <w:szCs w:val="40"/>
          <w:highlight w:val="none"/>
        </w:rPr>
      </w:pPr>
      <w:r>
        <w:rPr>
          <w:rFonts w:hint="eastAsia" w:ascii="仿宋" w:hAnsi="仿宋" w:eastAsia="仿宋" w:cs="仿宋"/>
          <w:b/>
          <w:bCs/>
          <w:color w:val="auto"/>
          <w:sz w:val="24"/>
          <w:szCs w:val="40"/>
          <w:highlight w:val="none"/>
        </w:rPr>
        <w:t>附件2</w:t>
      </w:r>
    </w:p>
    <w:p w14:paraId="7667792E">
      <w:pPr>
        <w:overflowPunct/>
        <w:spacing w:line="700" w:lineRule="exact"/>
        <w:ind w:firstLine="0" w:firstLineChars="0"/>
        <w:jc w:val="center"/>
        <w:rPr>
          <w:rFonts w:hint="eastAsia" w:ascii="仿宋" w:hAnsi="仿宋" w:eastAsia="仿宋" w:cs="仿宋"/>
          <w:color w:val="auto"/>
          <w:sz w:val="44"/>
          <w:szCs w:val="44"/>
          <w:highlight w:val="none"/>
        </w:rPr>
      </w:pPr>
    </w:p>
    <w:p w14:paraId="5189814E">
      <w:pPr>
        <w:overflowPunct/>
        <w:spacing w:line="700" w:lineRule="exact"/>
        <w:ind w:firstLine="0" w:firstLineChars="0"/>
        <w:jc w:val="cente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t>政府采购项目中标单位廉政承诺书</w:t>
      </w:r>
    </w:p>
    <w:p w14:paraId="01293526">
      <w:pPr>
        <w:overflowPunct/>
        <w:spacing w:line="560" w:lineRule="exact"/>
        <w:ind w:firstLine="0" w:firstLineChars="0"/>
        <w:rPr>
          <w:rFonts w:hint="eastAsia" w:ascii="仿宋" w:hAnsi="仿宋" w:eastAsia="仿宋" w:cs="仿宋"/>
          <w:color w:val="auto"/>
          <w:sz w:val="21"/>
          <w:szCs w:val="24"/>
          <w:highlight w:val="none"/>
        </w:rPr>
      </w:pPr>
    </w:p>
    <w:p w14:paraId="5CC83129">
      <w:pPr>
        <w:overflowPunct/>
        <w:spacing w:line="560" w:lineRule="exact"/>
        <w:ind w:firstLine="0" w:firstLineChars="0"/>
        <w:rPr>
          <w:rFonts w:hint="eastAsia" w:ascii="仿宋" w:hAnsi="仿宋" w:eastAsia="仿宋" w:cs="仿宋"/>
          <w:color w:val="auto"/>
          <w:sz w:val="24"/>
          <w:szCs w:val="40"/>
          <w:highlight w:val="none"/>
        </w:rPr>
      </w:pPr>
      <w:r>
        <w:rPr>
          <w:rFonts w:hint="eastAsia" w:ascii="仿宋" w:hAnsi="仿宋" w:eastAsia="仿宋" w:cs="仿宋"/>
          <w:color w:val="auto"/>
          <w:sz w:val="24"/>
          <w:szCs w:val="40"/>
          <w:highlight w:val="none"/>
        </w:rPr>
        <w:t>省交通运输综合行政执法监督局：</w:t>
      </w:r>
    </w:p>
    <w:p w14:paraId="1C0B97DC">
      <w:pPr>
        <w:overflowPunct/>
        <w:spacing w:line="560" w:lineRule="exact"/>
        <w:ind w:firstLine="632"/>
        <w:rPr>
          <w:rFonts w:hint="eastAsia" w:ascii="仿宋" w:hAnsi="仿宋" w:eastAsia="仿宋" w:cs="仿宋"/>
          <w:color w:val="auto"/>
          <w:sz w:val="24"/>
          <w:szCs w:val="40"/>
          <w:highlight w:val="none"/>
        </w:rPr>
      </w:pPr>
      <w:r>
        <w:rPr>
          <w:rFonts w:hint="eastAsia" w:ascii="仿宋" w:hAnsi="仿宋" w:eastAsia="仿宋" w:cs="仿宋"/>
          <w:color w:val="auto"/>
          <w:sz w:val="24"/>
          <w:szCs w:val="40"/>
          <w:highlight w:val="none"/>
        </w:rPr>
        <w:t>根据党中央全面从严治党战略部署、交通运输部“清廉交通”建设指导意见以及江苏省交通运输行政执法监督局（以下简称“省交通综合执法局”）有关党风廉政建设要求，我方作为**[项目名称]（项目编号：[项目编号]**）的中标单位，为规范本项目履约行为，强化廉政风险防控，坚守廉洁从业底线，自觉接受采购单位及相关部门的监督，切实维护政府采购活动的公开、公平、公正，保障国家利益、公共利益和采购单位合法权益，根据《中华人民共和国政府采购法》《中华人民共和国政府采购法实施条例》《江苏省政府采购履约验收管理办法》等法律法规及相关规定，结合本项目实际，郑重作出如下廉政承诺，自愿接受采购单位及社会各界的监督，如有违反，自愿承担相应法律责任和违约责任。</w:t>
      </w:r>
    </w:p>
    <w:p w14:paraId="52442195">
      <w:pPr>
        <w:overflowPunct/>
        <w:spacing w:line="560" w:lineRule="exact"/>
        <w:ind w:firstLine="632"/>
        <w:rPr>
          <w:rFonts w:hint="eastAsia" w:ascii="仿宋" w:hAnsi="仿宋" w:eastAsia="仿宋" w:cs="仿宋"/>
          <w:color w:val="auto"/>
          <w:sz w:val="24"/>
          <w:szCs w:val="40"/>
          <w:highlight w:val="none"/>
        </w:rPr>
      </w:pPr>
      <w:r>
        <w:rPr>
          <w:rFonts w:hint="eastAsia" w:ascii="仿宋" w:hAnsi="仿宋" w:eastAsia="仿宋" w:cs="仿宋"/>
          <w:color w:val="auto"/>
          <w:sz w:val="24"/>
          <w:szCs w:val="40"/>
          <w:highlight w:val="none"/>
        </w:rPr>
        <w:t>一、严格遵守法律法规与政策规定</w:t>
      </w:r>
    </w:p>
    <w:p w14:paraId="10242EE2">
      <w:pPr>
        <w:overflowPunct/>
        <w:spacing w:line="560" w:lineRule="exact"/>
        <w:ind w:firstLine="632"/>
        <w:rPr>
          <w:rFonts w:hint="eastAsia" w:ascii="仿宋" w:hAnsi="仿宋" w:eastAsia="仿宋" w:cs="仿宋"/>
          <w:color w:val="auto"/>
          <w:sz w:val="24"/>
          <w:szCs w:val="40"/>
          <w:highlight w:val="none"/>
        </w:rPr>
      </w:pPr>
      <w:r>
        <w:rPr>
          <w:rFonts w:hint="eastAsia" w:ascii="仿宋" w:hAnsi="仿宋" w:eastAsia="仿宋" w:cs="仿宋"/>
          <w:color w:val="auto"/>
          <w:sz w:val="24"/>
          <w:szCs w:val="40"/>
          <w:highlight w:val="none"/>
        </w:rPr>
        <w:t>我方牢固树立“诚信履约、廉洁从业”理念，深刻认识政府采购工作的严肃性和重要性，严格遵守政府采购各项法律法规、行业准则和采购单位的相关规定，全面履行中标合同义务，恪守诚实信用原则，绝不违反合同实质性内容，助力营造风清气正的政府采购环境，配合采购单位推进“清廉交通”建设。</w:t>
      </w:r>
    </w:p>
    <w:p w14:paraId="2A6702F5">
      <w:pPr>
        <w:ind w:firstLine="632"/>
        <w:rPr>
          <w:rFonts w:hint="eastAsia" w:ascii="仿宋" w:hAnsi="仿宋" w:eastAsia="仿宋" w:cs="仿宋"/>
          <w:color w:val="auto"/>
          <w:sz w:val="24"/>
          <w:szCs w:val="40"/>
          <w:highlight w:val="none"/>
        </w:rPr>
      </w:pPr>
      <w:r>
        <w:rPr>
          <w:rFonts w:hint="eastAsia" w:ascii="仿宋" w:hAnsi="仿宋" w:eastAsia="仿宋" w:cs="仿宋"/>
          <w:color w:val="auto"/>
          <w:sz w:val="24"/>
          <w:szCs w:val="40"/>
          <w:highlight w:val="none"/>
        </w:rPr>
        <w:t>二、杜绝利益输送等违规行为</w:t>
      </w:r>
    </w:p>
    <w:p w14:paraId="32292216">
      <w:pPr>
        <w:overflowPunct/>
        <w:spacing w:line="560" w:lineRule="exact"/>
        <w:ind w:firstLine="632"/>
        <w:rPr>
          <w:rFonts w:hint="eastAsia" w:ascii="仿宋" w:hAnsi="仿宋" w:eastAsia="仿宋" w:cs="仿宋"/>
          <w:color w:val="auto"/>
          <w:sz w:val="24"/>
          <w:szCs w:val="40"/>
          <w:highlight w:val="none"/>
        </w:rPr>
      </w:pPr>
      <w:r>
        <w:rPr>
          <w:rFonts w:hint="eastAsia" w:ascii="仿宋" w:hAnsi="仿宋" w:eastAsia="仿宋" w:cs="仿宋"/>
          <w:color w:val="auto"/>
          <w:sz w:val="24"/>
          <w:szCs w:val="40"/>
          <w:highlight w:val="none"/>
        </w:rPr>
        <w:t>1</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绝不向省交通综合执法局工作人员、采购代理机构、评审专家及其他相关关联人员赠送现金、礼品、有价证券、支付凭证、股权、回扣、好处费、其他财物等不正当利益，绝不安排宴请、旅游、健身、娱乐等可能影响公正履职的活动，绝不为工作人员本人或亲友提供任何形式的便利、帮助或优惠，绝不与工作人员发生借贷、租赁或合伙经营等个人经济关系；</w:t>
      </w:r>
    </w:p>
    <w:p w14:paraId="54572545">
      <w:pPr>
        <w:overflowPunct/>
        <w:spacing w:line="560" w:lineRule="exact"/>
        <w:ind w:firstLine="632"/>
        <w:rPr>
          <w:rFonts w:hint="eastAsia" w:ascii="仿宋" w:hAnsi="仿宋" w:eastAsia="仿宋" w:cs="仿宋"/>
          <w:color w:val="auto"/>
          <w:sz w:val="24"/>
          <w:szCs w:val="40"/>
          <w:highlight w:val="none"/>
        </w:rPr>
      </w:pPr>
      <w:r>
        <w:rPr>
          <w:rFonts w:hint="eastAsia" w:ascii="仿宋" w:hAnsi="仿宋" w:eastAsia="仿宋" w:cs="仿宋"/>
          <w:color w:val="auto"/>
          <w:sz w:val="24"/>
          <w:szCs w:val="40"/>
          <w:highlight w:val="none"/>
        </w:rPr>
        <w:t>2</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绝不与省交通综合执法局工作人员私下协商、背离合同实质性内容签订补充协议；</w:t>
      </w:r>
    </w:p>
    <w:p w14:paraId="27A83E4B">
      <w:pPr>
        <w:overflowPunct/>
        <w:spacing w:line="560" w:lineRule="exact"/>
        <w:ind w:firstLine="632"/>
        <w:rPr>
          <w:rFonts w:hint="eastAsia" w:ascii="仿宋" w:hAnsi="仿宋" w:eastAsia="仿宋" w:cs="仿宋"/>
          <w:color w:val="auto"/>
          <w:sz w:val="24"/>
          <w:szCs w:val="40"/>
          <w:highlight w:val="none"/>
        </w:rPr>
      </w:pPr>
      <w:r>
        <w:rPr>
          <w:rFonts w:hint="eastAsia" w:ascii="仿宋" w:hAnsi="仿宋" w:eastAsia="仿宋" w:cs="仿宋"/>
          <w:color w:val="auto"/>
          <w:sz w:val="24"/>
          <w:szCs w:val="40"/>
          <w:highlight w:val="none"/>
        </w:rPr>
        <w:t>3</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绝不在履约中以次充好、偷工减料、拖延工期；</w:t>
      </w:r>
    </w:p>
    <w:p w14:paraId="7A353898">
      <w:pPr>
        <w:overflowPunct/>
        <w:spacing w:line="560" w:lineRule="exact"/>
        <w:ind w:firstLine="632"/>
        <w:rPr>
          <w:rFonts w:hint="eastAsia" w:ascii="仿宋" w:hAnsi="仿宋" w:eastAsia="仿宋" w:cs="仿宋"/>
          <w:color w:val="auto"/>
          <w:sz w:val="24"/>
          <w:szCs w:val="40"/>
          <w:highlight w:val="none"/>
        </w:rPr>
      </w:pPr>
      <w:r>
        <w:rPr>
          <w:rFonts w:hint="eastAsia" w:ascii="仿宋" w:hAnsi="仿宋" w:eastAsia="仿宋" w:cs="仿宋"/>
          <w:color w:val="auto"/>
          <w:sz w:val="24"/>
          <w:szCs w:val="40"/>
          <w:highlight w:val="none"/>
        </w:rPr>
        <w:t>4</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 绝不将中标项目违法转包、擅自分包，或擅自变更项目负责人、核心技术人员；</w:t>
      </w:r>
    </w:p>
    <w:p w14:paraId="4F1C86A7">
      <w:pPr>
        <w:overflowPunct/>
        <w:spacing w:line="560" w:lineRule="exact"/>
        <w:ind w:firstLine="632"/>
        <w:rPr>
          <w:rFonts w:hint="eastAsia" w:ascii="仿宋" w:hAnsi="仿宋" w:eastAsia="仿宋" w:cs="仿宋"/>
          <w:color w:val="auto"/>
          <w:sz w:val="24"/>
          <w:szCs w:val="40"/>
          <w:highlight w:val="none"/>
        </w:rPr>
      </w:pPr>
      <w:r>
        <w:rPr>
          <w:rFonts w:hint="eastAsia" w:ascii="仿宋" w:hAnsi="仿宋" w:eastAsia="仿宋" w:cs="仿宋"/>
          <w:color w:val="auto"/>
          <w:sz w:val="24"/>
          <w:szCs w:val="40"/>
          <w:highlight w:val="none"/>
        </w:rPr>
        <w:t>5</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 绝不索取、收受省交通综合执法局工作人员、采购代理机构的任何不当利益，也不利用项目实施便利谋取个人或第三方私利；</w:t>
      </w:r>
    </w:p>
    <w:p w14:paraId="565E0FA3">
      <w:pPr>
        <w:overflowPunct/>
        <w:spacing w:line="560" w:lineRule="exact"/>
        <w:ind w:firstLine="632"/>
        <w:rPr>
          <w:rFonts w:hint="eastAsia" w:ascii="仿宋" w:hAnsi="仿宋" w:eastAsia="仿宋" w:cs="仿宋"/>
          <w:color w:val="auto"/>
          <w:sz w:val="24"/>
          <w:szCs w:val="40"/>
          <w:highlight w:val="none"/>
        </w:rPr>
      </w:pPr>
      <w:r>
        <w:rPr>
          <w:rFonts w:hint="eastAsia" w:ascii="仿宋" w:hAnsi="仿宋" w:eastAsia="仿宋" w:cs="仿宋"/>
          <w:color w:val="auto"/>
          <w:sz w:val="24"/>
          <w:szCs w:val="40"/>
          <w:highlight w:val="none"/>
        </w:rPr>
        <w:t>6</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严格遵守政府采购保密规定，绝不泄露本项目相关保密信息（包括但不限于采购文件、投标文件、技术参数、验收标准、履约细节等），绝不建立或加入与本项目相关的不正当联络群，杜绝通过不正当渠道传递涉密信息，切实履行保密义务。</w:t>
      </w:r>
    </w:p>
    <w:p w14:paraId="063C9EAF">
      <w:pPr>
        <w:keepNext/>
        <w:overflowPunct/>
        <w:spacing w:line="560" w:lineRule="exact"/>
        <w:ind w:firstLine="632"/>
        <w:rPr>
          <w:rFonts w:hint="eastAsia" w:ascii="仿宋" w:hAnsi="仿宋" w:eastAsia="仿宋" w:cs="仿宋"/>
          <w:color w:val="auto"/>
          <w:sz w:val="24"/>
          <w:szCs w:val="40"/>
          <w:highlight w:val="none"/>
        </w:rPr>
      </w:pPr>
      <w:r>
        <w:rPr>
          <w:rFonts w:hint="eastAsia" w:ascii="仿宋" w:hAnsi="仿宋" w:eastAsia="仿宋" w:cs="仿宋"/>
          <w:color w:val="auto"/>
          <w:sz w:val="24"/>
          <w:szCs w:val="40"/>
          <w:highlight w:val="none"/>
        </w:rPr>
        <w:t>三、规范履约与主动接受监督</w:t>
      </w:r>
    </w:p>
    <w:p w14:paraId="265F5FD1">
      <w:pPr>
        <w:overflowPunct/>
        <w:spacing w:line="560" w:lineRule="exact"/>
        <w:ind w:firstLine="632"/>
        <w:rPr>
          <w:rFonts w:hint="eastAsia" w:ascii="仿宋" w:hAnsi="仿宋" w:eastAsia="仿宋" w:cs="仿宋"/>
          <w:color w:val="auto"/>
          <w:sz w:val="24"/>
          <w:szCs w:val="40"/>
          <w:highlight w:val="none"/>
        </w:rPr>
      </w:pPr>
      <w:r>
        <w:rPr>
          <w:rFonts w:hint="eastAsia" w:ascii="仿宋" w:hAnsi="仿宋" w:eastAsia="仿宋" w:cs="仿宋"/>
          <w:color w:val="auto"/>
          <w:sz w:val="24"/>
          <w:szCs w:val="40"/>
          <w:highlight w:val="none"/>
        </w:rPr>
        <w:t>1</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严格按招标文件、投标文件及中标合同约定履约，严控项目质量、进度与成本，确保项目成果符合采购需求；</w:t>
      </w:r>
    </w:p>
    <w:p w14:paraId="2311185E">
      <w:pPr>
        <w:overflowPunct/>
        <w:spacing w:line="560" w:lineRule="exact"/>
        <w:ind w:firstLine="632"/>
        <w:rPr>
          <w:rFonts w:hint="eastAsia" w:ascii="仿宋" w:hAnsi="仿宋" w:eastAsia="仿宋" w:cs="仿宋"/>
          <w:color w:val="auto"/>
          <w:sz w:val="24"/>
          <w:szCs w:val="40"/>
          <w:highlight w:val="none"/>
        </w:rPr>
      </w:pPr>
      <w:r>
        <w:rPr>
          <w:rFonts w:hint="eastAsia" w:ascii="仿宋" w:hAnsi="仿宋" w:eastAsia="仿宋" w:cs="仿宋"/>
          <w:color w:val="auto"/>
          <w:sz w:val="24"/>
          <w:szCs w:val="40"/>
          <w:highlight w:val="none"/>
        </w:rPr>
        <w:t>2</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主动接受省交通综合执法局计划、财务、纪检部门及社会公众的监督检查，如实提供项目资料、财务凭证、沟通记录等相关材料，不拒绝、不阻挠、不隐匿；</w:t>
      </w:r>
    </w:p>
    <w:p w14:paraId="2ED475BF">
      <w:pPr>
        <w:overflowPunct/>
        <w:spacing w:line="560" w:lineRule="exact"/>
        <w:ind w:firstLine="632"/>
        <w:rPr>
          <w:rFonts w:hint="eastAsia" w:ascii="仿宋" w:hAnsi="仿宋" w:eastAsia="仿宋" w:cs="仿宋"/>
          <w:color w:val="auto"/>
          <w:sz w:val="24"/>
          <w:szCs w:val="40"/>
          <w:highlight w:val="none"/>
        </w:rPr>
      </w:pPr>
      <w:r>
        <w:rPr>
          <w:rFonts w:hint="eastAsia" w:ascii="仿宋" w:hAnsi="仿宋" w:eastAsia="仿宋" w:cs="仿宋"/>
          <w:color w:val="auto"/>
          <w:sz w:val="24"/>
          <w:szCs w:val="40"/>
          <w:highlight w:val="none"/>
        </w:rPr>
        <w:t>3</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建立项目廉政台账，加强内部人员廉政教育，对参与项目的团队成员严格管理，杜绝违规行为，若发生相关问题，我方承担全部责任。</w:t>
      </w:r>
    </w:p>
    <w:p w14:paraId="2CAC2EB4">
      <w:pPr>
        <w:overflowPunct/>
        <w:spacing w:line="560" w:lineRule="exact"/>
        <w:ind w:firstLine="632"/>
        <w:rPr>
          <w:rFonts w:hint="eastAsia" w:ascii="仿宋" w:hAnsi="仿宋" w:eastAsia="仿宋" w:cs="仿宋"/>
          <w:color w:val="auto"/>
          <w:sz w:val="24"/>
          <w:szCs w:val="40"/>
          <w:highlight w:val="none"/>
        </w:rPr>
      </w:pPr>
      <w:r>
        <w:rPr>
          <w:rFonts w:hint="eastAsia" w:ascii="仿宋" w:hAnsi="仿宋" w:eastAsia="仿宋" w:cs="仿宋"/>
          <w:color w:val="auto"/>
          <w:sz w:val="24"/>
          <w:szCs w:val="40"/>
          <w:highlight w:val="none"/>
        </w:rPr>
        <w:t>四、违约责任承担</w:t>
      </w:r>
    </w:p>
    <w:p w14:paraId="61184F24">
      <w:pPr>
        <w:overflowPunct/>
        <w:spacing w:line="560" w:lineRule="exact"/>
        <w:ind w:firstLine="632"/>
        <w:rPr>
          <w:rFonts w:hint="eastAsia" w:ascii="仿宋" w:hAnsi="仿宋" w:eastAsia="仿宋" w:cs="仿宋"/>
          <w:color w:val="auto"/>
          <w:sz w:val="24"/>
          <w:szCs w:val="40"/>
          <w:highlight w:val="none"/>
        </w:rPr>
      </w:pPr>
      <w:r>
        <w:rPr>
          <w:rFonts w:hint="eastAsia" w:ascii="仿宋" w:hAnsi="仿宋" w:eastAsia="仿宋" w:cs="仿宋"/>
          <w:color w:val="auto"/>
          <w:sz w:val="24"/>
          <w:szCs w:val="40"/>
          <w:highlight w:val="none"/>
        </w:rPr>
        <w:t>若我方违反上述任一承诺，自愿承担以下后果：</w:t>
      </w:r>
    </w:p>
    <w:p w14:paraId="59A16BC5">
      <w:pPr>
        <w:overflowPunct/>
        <w:spacing w:line="560" w:lineRule="exact"/>
        <w:ind w:firstLine="632"/>
        <w:rPr>
          <w:rFonts w:hint="eastAsia" w:ascii="仿宋" w:hAnsi="仿宋" w:eastAsia="仿宋" w:cs="仿宋"/>
          <w:color w:val="auto"/>
          <w:sz w:val="24"/>
          <w:szCs w:val="40"/>
          <w:highlight w:val="none"/>
        </w:rPr>
      </w:pPr>
      <w:r>
        <w:rPr>
          <w:rFonts w:hint="eastAsia" w:ascii="仿宋" w:hAnsi="仿宋" w:eastAsia="仿宋" w:cs="仿宋"/>
          <w:color w:val="auto"/>
          <w:sz w:val="24"/>
          <w:szCs w:val="40"/>
          <w:highlight w:val="none"/>
        </w:rPr>
        <w:t>1</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接受省交通综合执法局取消中标资格、没收履约保证金、终止合同、拒付工程款等处理；</w:t>
      </w:r>
    </w:p>
    <w:p w14:paraId="1D1AA8CC">
      <w:pPr>
        <w:overflowPunct/>
        <w:spacing w:line="560" w:lineRule="exact"/>
        <w:ind w:firstLine="632"/>
        <w:rPr>
          <w:rFonts w:hint="eastAsia" w:ascii="仿宋" w:hAnsi="仿宋" w:eastAsia="仿宋" w:cs="仿宋"/>
          <w:color w:val="auto"/>
          <w:sz w:val="24"/>
          <w:szCs w:val="40"/>
          <w:highlight w:val="none"/>
        </w:rPr>
      </w:pPr>
      <w:r>
        <w:rPr>
          <w:rFonts w:hint="eastAsia" w:ascii="仿宋" w:hAnsi="仿宋" w:eastAsia="仿宋" w:cs="仿宋"/>
          <w:color w:val="auto"/>
          <w:sz w:val="24"/>
          <w:szCs w:val="40"/>
          <w:highlight w:val="none"/>
        </w:rPr>
        <w:t>2</w:t>
      </w:r>
      <w:r>
        <w:rPr>
          <w:rFonts w:hint="eastAsia" w:ascii="仿宋" w:hAnsi="仿宋" w:eastAsia="仿宋" w:cs="仿宋"/>
          <w:color w:val="auto"/>
          <w:kern w:val="32"/>
          <w:sz w:val="24"/>
          <w:szCs w:val="40"/>
          <w:highlight w:val="none"/>
        </w:rPr>
        <w:t>．</w:t>
      </w:r>
      <w:r>
        <w:rPr>
          <w:rFonts w:hint="eastAsia" w:ascii="仿宋" w:hAnsi="仿宋" w:eastAsia="仿宋" w:cs="仿宋"/>
          <w:color w:val="auto"/>
          <w:sz w:val="24"/>
          <w:szCs w:val="40"/>
          <w:highlight w:val="none"/>
        </w:rPr>
        <w:t>承担由此给省交通综合执法局、采购代理机构造成的全部经济损失及相应法律责任（含民事、行政乃至刑事责任）。</w:t>
      </w:r>
    </w:p>
    <w:p w14:paraId="35336B5A">
      <w:pPr>
        <w:overflowPunct/>
        <w:spacing w:line="560" w:lineRule="exact"/>
        <w:ind w:firstLine="632"/>
        <w:rPr>
          <w:rFonts w:hint="eastAsia" w:ascii="仿宋" w:hAnsi="仿宋" w:eastAsia="仿宋" w:cs="仿宋"/>
          <w:color w:val="auto"/>
          <w:sz w:val="24"/>
          <w:szCs w:val="40"/>
          <w:highlight w:val="none"/>
        </w:rPr>
      </w:pPr>
      <w:r>
        <w:rPr>
          <w:rFonts w:hint="eastAsia" w:ascii="仿宋" w:hAnsi="仿宋" w:eastAsia="仿宋" w:cs="仿宋"/>
          <w:color w:val="auto"/>
          <w:sz w:val="24"/>
          <w:szCs w:val="40"/>
          <w:highlight w:val="none"/>
        </w:rPr>
        <w:t>本承诺书作为中标合同的有效组成部分，与合同具有同等法律效力，自我方签字盖章之日起生效，持续约束至项目完全履约完毕。</w:t>
      </w:r>
    </w:p>
    <w:p w14:paraId="6155B97E">
      <w:pPr>
        <w:overflowPunct/>
        <w:spacing w:line="560" w:lineRule="exact"/>
        <w:ind w:firstLine="0" w:firstLineChars="0"/>
        <w:rPr>
          <w:rFonts w:hint="eastAsia" w:ascii="仿宋" w:hAnsi="仿宋" w:eastAsia="仿宋" w:cs="仿宋"/>
          <w:color w:val="auto"/>
          <w:sz w:val="24"/>
          <w:szCs w:val="40"/>
          <w:highlight w:val="none"/>
        </w:rPr>
      </w:pPr>
    </w:p>
    <w:p w14:paraId="7D961B43">
      <w:pPr>
        <w:overflowPunct/>
        <w:spacing w:line="560" w:lineRule="exact"/>
        <w:ind w:firstLine="632"/>
        <w:rPr>
          <w:rFonts w:hint="eastAsia" w:ascii="仿宋" w:hAnsi="仿宋" w:eastAsia="仿宋" w:cs="仿宋"/>
          <w:color w:val="auto"/>
          <w:sz w:val="24"/>
          <w:szCs w:val="40"/>
          <w:highlight w:val="none"/>
        </w:rPr>
      </w:pPr>
      <w:r>
        <w:rPr>
          <w:rFonts w:hint="eastAsia" w:ascii="仿宋" w:hAnsi="仿宋" w:eastAsia="仿宋" w:cs="仿宋"/>
          <w:color w:val="auto"/>
          <w:sz w:val="24"/>
          <w:szCs w:val="40"/>
          <w:highlight w:val="none"/>
        </w:rPr>
        <w:t>承诺单位（公章）：[中标单位全称]</w:t>
      </w:r>
    </w:p>
    <w:p w14:paraId="385E7DA7">
      <w:pPr>
        <w:overflowPunct/>
        <w:spacing w:line="560" w:lineRule="exact"/>
        <w:ind w:firstLine="632"/>
        <w:rPr>
          <w:rFonts w:hint="eastAsia" w:ascii="仿宋" w:hAnsi="仿宋" w:eastAsia="仿宋" w:cs="仿宋"/>
          <w:color w:val="auto"/>
          <w:sz w:val="24"/>
          <w:szCs w:val="40"/>
          <w:highlight w:val="none"/>
        </w:rPr>
      </w:pPr>
      <w:r>
        <w:rPr>
          <w:rFonts w:hint="eastAsia" w:ascii="仿宋" w:hAnsi="仿宋" w:eastAsia="仿宋" w:cs="仿宋"/>
          <w:color w:val="auto"/>
          <w:sz w:val="24"/>
          <w:szCs w:val="40"/>
          <w:highlight w:val="none"/>
        </w:rPr>
        <w:t>法定代表人/授权代表（签字）：[签字]</w:t>
      </w:r>
    </w:p>
    <w:p w14:paraId="7DBCA0B5">
      <w:pPr>
        <w:overflowPunct/>
        <w:spacing w:line="560" w:lineRule="exact"/>
        <w:ind w:firstLine="632"/>
        <w:rPr>
          <w:rFonts w:hint="eastAsia" w:ascii="仿宋" w:hAnsi="仿宋" w:eastAsia="仿宋" w:cs="仿宋"/>
          <w:color w:val="auto"/>
          <w:sz w:val="24"/>
          <w:szCs w:val="40"/>
          <w:highlight w:val="none"/>
        </w:rPr>
      </w:pPr>
      <w:r>
        <w:rPr>
          <w:rFonts w:hint="eastAsia" w:ascii="仿宋" w:hAnsi="仿宋" w:eastAsia="仿宋" w:cs="仿宋"/>
          <w:color w:val="auto"/>
          <w:sz w:val="24"/>
          <w:szCs w:val="40"/>
          <w:highlight w:val="none"/>
        </w:rPr>
        <w:t>统一社会信用代码：[代码]</w:t>
      </w:r>
    </w:p>
    <w:p w14:paraId="7BDB67AA">
      <w:pPr>
        <w:overflowPunct/>
        <w:spacing w:line="560" w:lineRule="exact"/>
        <w:ind w:firstLine="632"/>
        <w:rPr>
          <w:rFonts w:hint="eastAsia" w:ascii="仿宋" w:hAnsi="仿宋" w:eastAsia="仿宋" w:cs="仿宋"/>
          <w:color w:val="auto"/>
          <w:sz w:val="24"/>
          <w:szCs w:val="40"/>
          <w:highlight w:val="none"/>
        </w:rPr>
      </w:pPr>
      <w:r>
        <w:rPr>
          <w:rFonts w:hint="eastAsia" w:ascii="仿宋" w:hAnsi="仿宋" w:eastAsia="仿宋" w:cs="仿宋"/>
          <w:color w:val="auto"/>
          <w:sz w:val="24"/>
          <w:szCs w:val="40"/>
          <w:highlight w:val="none"/>
        </w:rPr>
        <w:t>日期：[YYYY年MM月DD日]</w:t>
      </w:r>
    </w:p>
    <w:p w14:paraId="526C9BCD">
      <w:pPr>
        <w:widowControl/>
        <w:overflowPunct/>
        <w:spacing w:line="240" w:lineRule="auto"/>
        <w:ind w:firstLine="0" w:firstLineChars="0"/>
        <w:jc w:val="left"/>
        <w:rPr>
          <w:rFonts w:hint="eastAsia" w:ascii="仿宋" w:hAnsi="仿宋" w:eastAsia="仿宋" w:cs="仿宋"/>
          <w:color w:val="auto"/>
          <w:szCs w:val="32"/>
          <w:highlight w:val="none"/>
        </w:rPr>
      </w:pPr>
      <w:r>
        <w:rPr>
          <w:rFonts w:hint="eastAsia" w:ascii="仿宋" w:hAnsi="仿宋" w:eastAsia="仿宋" w:cs="仿宋"/>
          <w:color w:val="auto"/>
          <w:szCs w:val="32"/>
          <w:highlight w:val="none"/>
        </w:rPr>
        <w:br w:type="page"/>
      </w:r>
      <w:r>
        <w:rPr>
          <w:rFonts w:hint="eastAsia" w:ascii="仿宋" w:hAnsi="仿宋" w:eastAsia="仿宋" w:cs="仿宋"/>
          <w:b/>
          <w:bCs/>
          <w:color w:val="auto"/>
          <w:sz w:val="24"/>
          <w:szCs w:val="40"/>
          <w:highlight w:val="none"/>
        </w:rPr>
        <w:t>附件3</w:t>
      </w:r>
    </w:p>
    <w:p w14:paraId="306151BE">
      <w:pPr>
        <w:overflowPunct/>
        <w:spacing w:line="240" w:lineRule="auto"/>
        <w:ind w:firstLine="0" w:firstLineChars="0"/>
        <w:jc w:val="cente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t>政府采购项目中标单位廉政合同</w:t>
      </w:r>
    </w:p>
    <w:p w14:paraId="00F93304">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合同编号：</w:t>
      </w:r>
    </w:p>
    <w:p w14:paraId="04126129">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项目名称：______________</w:t>
      </w:r>
    </w:p>
    <w:p w14:paraId="5D109A85">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项目编号：________________________</w:t>
      </w:r>
    </w:p>
    <w:p w14:paraId="0E906989">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签订地点：江苏省南京市____区</w:t>
      </w:r>
    </w:p>
    <w:p w14:paraId="0E2E3ED3">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签订时间：______年____月____日</w:t>
      </w:r>
    </w:p>
    <w:p w14:paraId="69B57CAF">
      <w:pPr>
        <w:overflowPunct/>
        <w:ind w:firstLine="0" w:firstLineChars="0"/>
        <w:rPr>
          <w:rFonts w:hint="eastAsia" w:ascii="仿宋" w:hAnsi="仿宋" w:eastAsia="仿宋" w:cs="仿宋"/>
          <w:b w:val="0"/>
          <w:bCs w:val="0"/>
          <w:color w:val="auto"/>
          <w:sz w:val="24"/>
          <w:szCs w:val="40"/>
          <w:highlight w:val="none"/>
        </w:rPr>
      </w:pPr>
    </w:p>
    <w:p w14:paraId="5006D5E6">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甲方（采购人）</w:t>
      </w:r>
    </w:p>
    <w:p w14:paraId="57DD0321">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单位名称：________________________</w:t>
      </w:r>
    </w:p>
    <w:p w14:paraId="713957CB">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统一社会信用代码：________________</w:t>
      </w:r>
    </w:p>
    <w:p w14:paraId="6544D8CC">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地址：____________________________</w:t>
      </w:r>
    </w:p>
    <w:p w14:paraId="6F397BD4">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联系人：____________ 联系电话：____________</w:t>
      </w:r>
    </w:p>
    <w:p w14:paraId="698093A2">
      <w:pPr>
        <w:overflowPunct/>
        <w:ind w:firstLine="0" w:firstLineChars="0"/>
        <w:rPr>
          <w:rFonts w:hint="eastAsia" w:ascii="仿宋" w:hAnsi="仿宋" w:eastAsia="仿宋" w:cs="仿宋"/>
          <w:b w:val="0"/>
          <w:bCs w:val="0"/>
          <w:color w:val="auto"/>
          <w:sz w:val="24"/>
          <w:szCs w:val="40"/>
          <w:highlight w:val="none"/>
        </w:rPr>
      </w:pPr>
    </w:p>
    <w:p w14:paraId="2D66EFA2">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乙方（中标供应商）</w:t>
      </w:r>
    </w:p>
    <w:p w14:paraId="6541C194">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单位名称：________________________</w:t>
      </w:r>
    </w:p>
    <w:p w14:paraId="69C38116">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统一社会信用代码：________________</w:t>
      </w:r>
    </w:p>
    <w:p w14:paraId="251BC48D">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地址：____________________________</w:t>
      </w:r>
    </w:p>
    <w:p w14:paraId="0A98FB77">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法定代表人：______________________</w:t>
      </w:r>
    </w:p>
    <w:p w14:paraId="28B6BE61">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项目负责人：______________________</w:t>
      </w:r>
    </w:p>
    <w:p w14:paraId="45AAB5BC">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联系电话：________________________</w:t>
      </w:r>
    </w:p>
    <w:p w14:paraId="2004E30F">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为规范江苏省交通运输综合行政执法监督局（以下简称“甲方”）政府采购项目履约行为，强化政府采购领域廉政风险防控，规范采购行为，维护国家利益、公共利益和甲乙双方合法权益，防范利益输送、围标串标、商业贿赂等违纪违法问题，保障采购项目公开、公平、公正、廉洁实施，依据《中华人民共和国民法典》《中华人民共和国政府采购法》《中华人民共和国政府采购法实施条例》《政府采购需求管理办法》《政府采购货物和服务招标投标管理办法》《江苏省政府采购履约验收管理办法》及江苏省交通运输厅关于政府采购廉政管控相关规定，结合甲方政府采购项目（以下简称“本项目”）实际情况，甲乙双方本着平等自愿、权责对等、诚实信用、廉洁自律的原则，经协商一致，订立本廉政合同。</w:t>
      </w:r>
    </w:p>
    <w:p w14:paraId="1D1FAC6E">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本合同为上述项目主合同不可分割的组成部分，与主合同具有同等法律效力，主合同无效、被撤销或终止的，本合同关于廉政责任、违约责任、争议解决的条款依然有效。</w:t>
      </w:r>
    </w:p>
    <w:p w14:paraId="445BC4E3">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第一条 适用范围与期限</w:t>
      </w:r>
    </w:p>
    <w:p w14:paraId="0AF96873">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1</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本合同适用于本项目中标、签约、履约、供货、施工、服务、验收、付款、质保、售后服务全流程、全环节。</w:t>
      </w:r>
    </w:p>
    <w:p w14:paraId="7093253C">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2</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廉政责任期限：自合同签订之日起，至项目质保期满、款项结清、所有责任履行完毕之日止。</w:t>
      </w:r>
    </w:p>
    <w:p w14:paraId="5848D8FE">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第二条 乙方（中标单位）廉政责任与禁止行为</w:t>
      </w:r>
    </w:p>
    <w:p w14:paraId="2F9C003F">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乙方郑重承诺，在项目全过程中严格遵守国家法律法规及政府采购廉政规定，坚决杜绝以下行为：</w:t>
      </w:r>
    </w:p>
    <w:p w14:paraId="61047808">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1</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不得以任何形式向甲方工作人员、评审专家、监理、验收人员及上述人员亲属、特定关系人赠送现金、礼金、礼品、有价证券、支付凭证、消费卡、电子红包、土特产、奢侈品等任何财物。</w:t>
      </w:r>
    </w:p>
    <w:p w14:paraId="36E2F3F0">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2</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不得提供或接受宴请、旅游、健身、娱乐、高消费活动，不得报销任何应由个人支付的费用，不得提供住房装修、车辆使用、家政服务等任何不正当利益。</w:t>
      </w:r>
    </w:p>
    <w:p w14:paraId="06587C14">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3</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不得违法转包、擅自分包、挂靠经营，不得随意更换项目负责人、技术负责人、核心服务人员。</w:t>
      </w:r>
    </w:p>
    <w:p w14:paraId="107BB985">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4</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不得在合同约定之外，以任何名义向甲方或相关人员索要、收受回扣、好处费、中介费、感谢费、协调费等不正当利益。</w:t>
      </w:r>
    </w:p>
    <w:p w14:paraId="794EB41B">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5</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不得通过打招呼、递条子、托关系、宴请等方式干预评审、干预验收、干预付款等。</w:t>
      </w:r>
    </w:p>
    <w:p w14:paraId="599F1B73">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6</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不得以次充好、偷工减料、降低标准、拖延工期、虚假履约等方式损害甲方及公共利益。</w:t>
      </w:r>
    </w:p>
    <w:p w14:paraId="690C2C20">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7</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不得拒绝、阻挠、逃避计划、财务、审计、纪检、采购人的监督检查，不得隐匿、伪造、篡改、销毁项目资料、财务凭证、合同文件、往来记录等。</w:t>
      </w:r>
    </w:p>
    <w:p w14:paraId="4CEC9534">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8</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不得泄露本项目相关保密信息（包括但不限于采购文件、投标文件、技术参数、验收标准、履约细节等），不得建立或加入与本项目相关的不正当联络群，杜绝通过不正当渠道传递涉密信息。</w:t>
      </w:r>
    </w:p>
    <w:p w14:paraId="54E3B6A3">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第三条 甲方（采购人）廉政责任与禁止行为</w:t>
      </w:r>
    </w:p>
    <w:p w14:paraId="5B80DFC9">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1</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甲方严格执行政府采购内控制度，坚持集体研究、公开透明，严禁个人擅自决定参数、验收标准及付款事项。</w:t>
      </w:r>
    </w:p>
    <w:p w14:paraId="52C59DB4">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2</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甲方工作人员严禁索取、收受、变相收受乙方任何财物、礼品、宴请、消费及不正当利益，严禁利用职权指定品牌、指定供应商、干预中标结果。</w:t>
      </w:r>
    </w:p>
    <w:p w14:paraId="2D64D71E">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3</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甲方严禁违规变更合同实质性条款。</w:t>
      </w:r>
    </w:p>
    <w:p w14:paraId="1E0CB09B">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4</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 甲方应按规定及时组织验收、按期支付资金，不得无故拖延、刁难、设置不合理门槛，不得利用验收、付款职权谋取私利。</w:t>
      </w:r>
    </w:p>
    <w:p w14:paraId="78E986D8">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5</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甲方与乙方存在利害关系的人员，必须主动申请回避，不得参与项目评审、验收、付款等关键环节。</w:t>
      </w:r>
    </w:p>
    <w:p w14:paraId="7174F8E2">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第四条 全过程留痕与档案管理</w:t>
      </w:r>
    </w:p>
    <w:p w14:paraId="5A684FF0">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为落实政府采购全过程可追溯要求，双方严格执行以下留痕制度：</w:t>
      </w:r>
    </w:p>
    <w:p w14:paraId="1B0E86D2">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1</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乙方须建立项目廉政台账，完整保存其自身履约过程中产生的文件资料，如：合同文件、投标资料、供货记录、施工日志、服务记录、验收单据、财务凭证、发票、往来函件等。</w:t>
      </w:r>
    </w:p>
    <w:p w14:paraId="69E12000">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2</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 所有关键环节（需求确认、变更、验收、付款）必须书面确认、签字盖章，严禁口头约定、私下变更。</w:t>
      </w:r>
    </w:p>
    <w:p w14:paraId="1AFD48A8">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3</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项目档案保存期限不少于15年，随时接受计划、财务、审计、纪检等部门调阅核查。</w:t>
      </w:r>
    </w:p>
    <w:p w14:paraId="173C079C">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4</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 乙方须指定专人负责廉政联络与资料归档，如发生廉政风险线索，24小时内主动向甲方及纪检部门报告。</w:t>
      </w:r>
    </w:p>
    <w:p w14:paraId="57562CF9">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第五条 异议与举报处理</w:t>
      </w:r>
    </w:p>
    <w:p w14:paraId="0C2C046A">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1</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乙方如发现甲方或相关人员存在违纪违法、不廉洁行为，有权实名或匿名举报，甲方及监管部门必须严格保密、及时核查反馈。</w:t>
      </w:r>
    </w:p>
    <w:p w14:paraId="06510274">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2</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廉政监督举报方式：</w:t>
      </w:r>
    </w:p>
    <w:p w14:paraId="1E2E2FAC">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采购人监督电话：____________________</w:t>
      </w:r>
    </w:p>
    <w:p w14:paraId="04FB6257">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计划部门采购监督电话：______________</w:t>
      </w:r>
    </w:p>
    <w:p w14:paraId="0A4D3528">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3</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任何一方不得对举报人员打击报复、刁难设卡、中止履约、恶意扣款，违者承担全部法律责任。</w:t>
      </w:r>
    </w:p>
    <w:p w14:paraId="4285504F">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第六条 违约责任（严格执行政府采购管控条款）</w:t>
      </w:r>
    </w:p>
    <w:p w14:paraId="1F962C68">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（一）乙方违约责任</w:t>
      </w:r>
    </w:p>
    <w:p w14:paraId="2A1BCBF8">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乙方违反本合同第二条任何一项禁止行为，均视为严重违约，甲方有权立即采取以下一项或多项措施：</w:t>
      </w:r>
    </w:p>
    <w:p w14:paraId="49E7311E">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1</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 中止合同履行、暂停所有款项支付；</w:t>
      </w:r>
    </w:p>
    <w:p w14:paraId="19A94A28">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2</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 没收全部履约保证金；</w:t>
      </w:r>
    </w:p>
    <w:p w14:paraId="1A2FEF0A">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3</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单方解除主合同与廉政合同，拒付已发生款项，并追究经济损失；</w:t>
      </w:r>
    </w:p>
    <w:p w14:paraId="567C290A">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4</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追究乙方民事赔偿责任，包括但不限于损失赔偿、违约金、律师费、诉讼费、保全费等；</w:t>
      </w:r>
    </w:p>
    <w:p w14:paraId="4C5A07B7">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5</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涉嫌违纪违法、商业贿赂、串通投标的，直接移交纪检监察机关、公安机关处理，依法追究刑事责任。</w:t>
      </w:r>
    </w:p>
    <w:p w14:paraId="5ACF0B11">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（二）甲方违约责任</w:t>
      </w:r>
    </w:p>
    <w:p w14:paraId="0E9D5254">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甲方工作人员违反廉政规定，经查证属实的，由甲方依规依纪处理；给乙方造成损失的，依法予以赔偿。</w:t>
      </w:r>
    </w:p>
    <w:p w14:paraId="39255012">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第七条 监督管理</w:t>
      </w:r>
    </w:p>
    <w:p w14:paraId="64AE70AA">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1</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本合同由双方或双方上级单位的纪检监察机关负责监督。由甲方或甲方上级单位的纪检监察机关约请乙方或乙方上级单位纪检监察机关对本合同履行情况进行检查，提出在本合同规定范围内的裁定意见。</w:t>
      </w:r>
    </w:p>
    <w:p w14:paraId="630A4EC8">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2</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 甲方定期对项目进行廉政回访与风险排查，乙方须无条件配合。</w:t>
      </w:r>
    </w:p>
    <w:p w14:paraId="60AB2583">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3</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 本合同作为项目验收、付款、归档的必备文件，无廉政合同不得启动验收与支付流程。</w:t>
      </w:r>
    </w:p>
    <w:p w14:paraId="4B0E239D">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第八条 其他约定</w:t>
      </w:r>
    </w:p>
    <w:p w14:paraId="2E245387">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1</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本合同未尽事宜，按照国家、江苏省关于政府采购廉政管理的最新规定执行。</w:t>
      </w:r>
    </w:p>
    <w:p w14:paraId="765793B5">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2</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因本合同产生争议，双方先行协商；协商不成的，提交项目所在地人民法院诉讼解决。</w:t>
      </w:r>
    </w:p>
    <w:p w14:paraId="0D72CAEF">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3</w:t>
      </w:r>
      <w:r>
        <w:rPr>
          <w:rFonts w:hint="eastAsia" w:ascii="仿宋" w:hAnsi="仿宋" w:eastAsia="仿宋" w:cs="仿宋"/>
          <w:b w:val="0"/>
          <w:bCs w:val="0"/>
          <w:color w:val="auto"/>
          <w:kern w:val="32"/>
          <w:sz w:val="24"/>
          <w:szCs w:val="40"/>
          <w:highlight w:val="none"/>
        </w:rPr>
        <w:t>．</w:t>
      </w:r>
      <w:r>
        <w:rPr>
          <w:rFonts w:hint="eastAsia" w:ascii="仿宋" w:hAnsi="仿宋" w:eastAsia="仿宋" w:cs="仿宋"/>
          <w:b w:val="0"/>
          <w:bCs w:val="0"/>
          <w:color w:val="auto"/>
          <w:sz w:val="24"/>
          <w:szCs w:val="40"/>
          <w:highlight w:val="none"/>
        </w:rPr>
        <w:t>本合同一式肆份，甲方执贰份，乙方执贰份，具有同等法律效力。</w:t>
      </w:r>
    </w:p>
    <w:p w14:paraId="25F2FA70">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（以下为签署页，无正文）</w:t>
      </w:r>
    </w:p>
    <w:p w14:paraId="77D6DDBB">
      <w:pPr>
        <w:overflowPunct/>
        <w:ind w:firstLine="632"/>
        <w:rPr>
          <w:rFonts w:hint="eastAsia" w:ascii="仿宋" w:hAnsi="仿宋" w:eastAsia="仿宋" w:cs="仿宋"/>
          <w:b w:val="0"/>
          <w:bCs w:val="0"/>
          <w:color w:val="auto"/>
          <w:sz w:val="24"/>
          <w:szCs w:val="40"/>
          <w:highlight w:val="none"/>
        </w:rPr>
      </w:pPr>
    </w:p>
    <w:p w14:paraId="59296C7A">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甲方（采购人）：（盖章）</w:t>
      </w:r>
    </w:p>
    <w:p w14:paraId="7D65240A">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法定代表人/授权代表（签字）：</w:t>
      </w:r>
    </w:p>
    <w:p w14:paraId="4D801C66">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日期：______年____月____日</w:t>
      </w:r>
    </w:p>
    <w:p w14:paraId="6553A5B9">
      <w:pPr>
        <w:overflowPunct/>
        <w:ind w:firstLine="0" w:firstLineChars="0"/>
        <w:rPr>
          <w:rFonts w:hint="eastAsia" w:ascii="仿宋" w:hAnsi="仿宋" w:eastAsia="仿宋" w:cs="仿宋"/>
          <w:b w:val="0"/>
          <w:bCs w:val="0"/>
          <w:color w:val="auto"/>
          <w:sz w:val="24"/>
          <w:szCs w:val="40"/>
          <w:highlight w:val="none"/>
        </w:rPr>
      </w:pPr>
    </w:p>
    <w:p w14:paraId="418B8867">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乙方（中标供应商）：（盖章）</w:t>
      </w:r>
    </w:p>
    <w:p w14:paraId="397152A1">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法定代表人（签字）：</w:t>
      </w:r>
    </w:p>
    <w:p w14:paraId="29341105">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项目负责人（签字）：</w:t>
      </w:r>
    </w:p>
    <w:p w14:paraId="1B26F4ED">
      <w:pPr>
        <w:overflowPunct/>
        <w:ind w:firstLine="632"/>
        <w:rPr>
          <w:rFonts w:hint="eastAsia" w:ascii="仿宋" w:hAnsi="仿宋" w:eastAsia="仿宋" w:cs="仿宋"/>
          <w:b w:val="0"/>
          <w:bCs w:val="0"/>
          <w:color w:val="auto"/>
          <w:sz w:val="24"/>
          <w:szCs w:val="40"/>
          <w:highlight w:val="none"/>
        </w:rPr>
      </w:pPr>
      <w:r>
        <w:rPr>
          <w:rFonts w:hint="eastAsia" w:ascii="仿宋" w:hAnsi="仿宋" w:eastAsia="仿宋" w:cs="仿宋"/>
          <w:b w:val="0"/>
          <w:bCs w:val="0"/>
          <w:color w:val="auto"/>
          <w:sz w:val="24"/>
          <w:szCs w:val="40"/>
          <w:highlight w:val="none"/>
        </w:rPr>
        <w:t>日期：______年____月____日</w:t>
      </w:r>
    </w:p>
    <w:p w14:paraId="04AB36BB">
      <w:pPr>
        <w:overflowPunct/>
        <w:ind w:firstLine="0" w:firstLineChars="0"/>
        <w:rPr>
          <w:rFonts w:hint="eastAsia" w:ascii="仿宋" w:hAnsi="仿宋" w:eastAsia="仿宋" w:cs="仿宋"/>
          <w:color w:val="auto"/>
          <w:szCs w:val="32"/>
          <w:highlight w:val="none"/>
        </w:rPr>
      </w:pPr>
    </w:p>
    <w:p w14:paraId="19C48FCE">
      <w:pPr>
        <w:rPr>
          <w:rFonts w:hint="eastAsia" w:ascii="仿宋" w:hAnsi="仿宋" w:eastAsia="仿宋" w:cs="仿宋"/>
          <w:bCs/>
          <w:color w:val="auto"/>
          <w:sz w:val="44"/>
          <w:highlight w:val="none"/>
        </w:rPr>
        <w:sectPr>
          <w:headerReference r:id="rId11" w:type="default"/>
          <w:footerReference r:id="rId12" w:type="default"/>
          <w:pgSz w:w="11906" w:h="16838"/>
          <w:pgMar w:top="1440" w:right="1080" w:bottom="1440" w:left="1080" w:header="851" w:footer="907" w:gutter="0"/>
          <w:pgNumType w:fmt="decimal"/>
          <w:cols w:space="720" w:num="1"/>
          <w:docGrid w:linePitch="360" w:charSpace="0"/>
        </w:sectPr>
      </w:pPr>
    </w:p>
    <w:p w14:paraId="754CBC3C">
      <w:pPr>
        <w:pStyle w:val="190"/>
        <w:pageBreakBefore w:val="0"/>
        <w:widowControl w:val="0"/>
        <w:kinsoku/>
        <w:wordWrap/>
        <w:overflowPunct/>
        <w:topLinePunct w:val="0"/>
        <w:autoSpaceDE/>
        <w:autoSpaceDN/>
        <w:bidi w:val="0"/>
        <w:adjustRightInd/>
        <w:snapToGrid/>
        <w:spacing w:line="480" w:lineRule="exact"/>
        <w:jc w:val="center"/>
        <w:textAlignment w:val="auto"/>
        <w:rPr>
          <w:rFonts w:ascii="仿宋" w:hAnsi="仿宋" w:eastAsia="仿宋" w:cs="仿宋"/>
          <w:color w:val="auto"/>
          <w:sz w:val="24"/>
          <w:szCs w:val="24"/>
          <w:highlight w:val="none"/>
        </w:rPr>
      </w:pPr>
      <w:bookmarkStart w:id="296" w:name="_Toc25556"/>
      <w:r>
        <w:rPr>
          <w:rFonts w:hint="eastAsia" w:ascii="仿宋" w:hAnsi="仿宋" w:eastAsia="仿宋" w:cs="仿宋"/>
          <w:b/>
          <w:bCs/>
          <w:color w:val="auto"/>
          <w:sz w:val="40"/>
          <w:szCs w:val="40"/>
          <w:highlight w:val="none"/>
        </w:rPr>
        <w:t>第</w:t>
      </w:r>
      <w:bookmarkEnd w:id="287"/>
      <w:r>
        <w:rPr>
          <w:rFonts w:hint="eastAsia" w:ascii="仿宋" w:hAnsi="仿宋" w:eastAsia="仿宋" w:cs="仿宋"/>
          <w:b/>
          <w:bCs/>
          <w:color w:val="auto"/>
          <w:sz w:val="40"/>
          <w:szCs w:val="40"/>
          <w:highlight w:val="none"/>
        </w:rPr>
        <w:t>四章  项目需求</w:t>
      </w:r>
      <w:bookmarkEnd w:id="288"/>
      <w:bookmarkEnd w:id="289"/>
      <w:bookmarkEnd w:id="290"/>
      <w:bookmarkEnd w:id="296"/>
    </w:p>
    <w:p w14:paraId="1AB82165">
      <w:pPr>
        <w:pStyle w:val="191"/>
        <w:pageBreakBefore w:val="0"/>
        <w:widowControl w:val="0"/>
        <w:kinsoku/>
        <w:wordWrap/>
        <w:overflowPunct/>
        <w:topLinePunct w:val="0"/>
        <w:autoSpaceDE/>
        <w:autoSpaceDN/>
        <w:bidi w:val="0"/>
        <w:adjustRightInd/>
        <w:snapToGrid/>
        <w:spacing w:before="2" w:after="2" w:line="360" w:lineRule="auto"/>
        <w:ind w:firstLine="562" w:firstLineChars="200"/>
        <w:jc w:val="left"/>
        <w:textAlignment w:val="auto"/>
        <w:outlineLvl w:val="9"/>
        <w:rPr>
          <w:rFonts w:hint="eastAsia" w:ascii="仿宋" w:hAnsi="仿宋" w:eastAsia="仿宋" w:cs="仿宋"/>
          <w:color w:val="auto"/>
          <w:sz w:val="28"/>
          <w:szCs w:val="28"/>
          <w:highlight w:val="none"/>
          <w:lang w:val="en-US" w:eastAsia="zh-CN"/>
        </w:rPr>
      </w:pPr>
      <w:bookmarkStart w:id="297" w:name="_Toc3608"/>
      <w:bookmarkStart w:id="298" w:name="_Toc17550"/>
      <w:bookmarkStart w:id="299" w:name="_Toc8018"/>
      <w:bookmarkStart w:id="300" w:name="_Toc120614281"/>
      <w:bookmarkStart w:id="301" w:name="_Toc26554093"/>
      <w:bookmarkStart w:id="302" w:name="_Toc49090575"/>
    </w:p>
    <w:bookmarkEnd w:id="297"/>
    <w:bookmarkEnd w:id="298"/>
    <w:p w14:paraId="2D374766">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color w:val="auto"/>
          <w:sz w:val="24"/>
          <w:szCs w:val="24"/>
          <w:highlight w:val="none"/>
          <w:lang w:val="en-US" w:eastAsia="zh-CN" w:bidi="ar-SA"/>
        </w:rPr>
      </w:pPr>
      <w:bookmarkStart w:id="303" w:name="_Toc21405"/>
      <w:r>
        <w:rPr>
          <w:rFonts w:hint="eastAsia" w:ascii="仿宋" w:hAnsi="仿宋" w:eastAsia="仿宋" w:cs="仿宋"/>
          <w:b w:val="0"/>
          <w:bCs w:val="0"/>
          <w:color w:val="auto"/>
          <w:sz w:val="24"/>
          <w:szCs w:val="24"/>
          <w:highlight w:val="none"/>
          <w:lang w:val="en-US" w:eastAsia="zh-CN" w:bidi="ar-SA"/>
        </w:rPr>
        <w:t>为科学应对高速公路交通大流量，提高道路通行效率和服务水平，保护人民群众生命财产安全，依据交通运输部《公路交通情况统计调查管理办法》《公路交通情况调查统计报表制度》等相关政策和制度要求，定期开展高速公路交通情况统计调查和重大节假日（含元旦、春节、清明、五一、端午、中秋、国庆等7个）交通运行统计等技术支撑工作，辅助编制重大节假日高速公路路网保畅方案、重大节假日全省高速公路路网出行服务指南，支撑全省高速公路路网运行监测、态势研判与科学决策。同时形成长三角高速公路重大节假日大流量路网管控策略及拥堵清单等，以进一步加强长三角路网协同统筹，为全省保畅管理工作提供跨区域专项技术辅助支撑，</w:t>
      </w:r>
    </w:p>
    <w:p w14:paraId="3013803F">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项目分两个标段实施：一是高速公路交通统计与路网日常监测辅助服务；二是长三角高速跨区域路网管控辅助服务。</w:t>
      </w:r>
    </w:p>
    <w:p w14:paraId="100CD80F">
      <w:pPr>
        <w:pStyle w:val="191"/>
        <w:pageBreakBefore w:val="0"/>
        <w:widowControl w:val="0"/>
        <w:kinsoku/>
        <w:wordWrap/>
        <w:overflowPunct/>
        <w:topLinePunct w:val="0"/>
        <w:autoSpaceDE/>
        <w:autoSpaceDN/>
        <w:bidi w:val="0"/>
        <w:adjustRightInd/>
        <w:snapToGrid/>
        <w:spacing w:before="2" w:after="2" w:line="480" w:lineRule="exact"/>
        <w:jc w:val="left"/>
        <w:textAlignment w:val="auto"/>
        <w:rPr>
          <w:rFonts w:hint="eastAsia" w:ascii="仿宋" w:hAnsi="仿宋" w:eastAsia="仿宋" w:cs="仿宋"/>
          <w:color w:val="auto"/>
          <w:sz w:val="28"/>
          <w:szCs w:val="28"/>
          <w:highlight w:val="none"/>
          <w:lang w:val="en-US" w:eastAsia="zh-CN"/>
        </w:rPr>
      </w:pPr>
    </w:p>
    <w:p w14:paraId="7719AFD6">
      <w:pPr>
        <w:pStyle w:val="191"/>
        <w:pageBreakBefore w:val="0"/>
        <w:widowControl w:val="0"/>
        <w:kinsoku/>
        <w:wordWrap/>
        <w:overflowPunct/>
        <w:topLinePunct w:val="0"/>
        <w:autoSpaceDE/>
        <w:autoSpaceDN/>
        <w:bidi w:val="0"/>
        <w:adjustRightInd/>
        <w:snapToGrid/>
        <w:spacing w:before="2" w:after="2" w:line="480" w:lineRule="exact"/>
        <w:jc w:val="lef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分包一：</w:t>
      </w:r>
      <w:bookmarkEnd w:id="303"/>
      <w:r>
        <w:rPr>
          <w:rFonts w:hint="eastAsia" w:ascii="仿宋" w:hAnsi="仿宋" w:eastAsia="仿宋" w:cs="仿宋"/>
          <w:b/>
          <w:bCs/>
          <w:color w:val="auto"/>
          <w:kern w:val="2"/>
          <w:sz w:val="28"/>
          <w:szCs w:val="28"/>
          <w:highlight w:val="none"/>
          <w:lang w:val="en-US" w:eastAsia="zh-CN" w:bidi="ar-SA"/>
        </w:rPr>
        <w:t>高速公路交通统计与路网日常监测辅助服务</w:t>
      </w:r>
    </w:p>
    <w:p w14:paraId="26EF9634">
      <w:pPr>
        <w:pStyle w:val="191"/>
        <w:pageBreakBefore w:val="0"/>
        <w:widowControl w:val="0"/>
        <w:kinsoku/>
        <w:wordWrap/>
        <w:overflowPunct/>
        <w:topLinePunct w:val="0"/>
        <w:autoSpaceDE/>
        <w:autoSpaceDN/>
        <w:bidi w:val="0"/>
        <w:adjustRightInd/>
        <w:snapToGrid/>
        <w:spacing w:before="2" w:after="2" w:line="480" w:lineRule="exact"/>
        <w:jc w:val="left"/>
        <w:textAlignment w:val="auto"/>
        <w:rPr>
          <w:rFonts w:hint="eastAsia" w:ascii="仿宋" w:hAnsi="仿宋" w:eastAsia="仿宋" w:cs="仿宋"/>
          <w:color w:val="auto"/>
          <w:sz w:val="28"/>
          <w:szCs w:val="28"/>
          <w:highlight w:val="none"/>
          <w:lang w:val="en-US" w:eastAsia="zh-CN"/>
        </w:rPr>
      </w:pPr>
      <w:bookmarkStart w:id="304" w:name="_Toc15746"/>
      <w:r>
        <w:rPr>
          <w:rFonts w:hint="eastAsia" w:ascii="仿宋" w:hAnsi="仿宋" w:eastAsia="仿宋" w:cs="仿宋"/>
          <w:color w:val="auto"/>
          <w:sz w:val="28"/>
          <w:szCs w:val="28"/>
          <w:highlight w:val="none"/>
          <w:lang w:val="en-US" w:eastAsia="zh-CN"/>
        </w:rPr>
        <w:t>一、</w:t>
      </w:r>
      <w:bookmarkEnd w:id="304"/>
      <w:bookmarkStart w:id="305" w:name="_Toc25539"/>
      <w:bookmarkStart w:id="306" w:name="_Toc12559"/>
      <w:r>
        <w:rPr>
          <w:rFonts w:hint="eastAsia" w:ascii="仿宋" w:hAnsi="仿宋" w:eastAsia="仿宋" w:cs="仿宋"/>
          <w:color w:val="auto"/>
          <w:sz w:val="28"/>
          <w:szCs w:val="28"/>
          <w:highlight w:val="none"/>
          <w:lang w:val="en-US" w:eastAsia="zh-CN"/>
        </w:rPr>
        <w:t>工作内容及成果</w:t>
      </w:r>
      <w:bookmarkEnd w:id="305"/>
      <w:bookmarkEnd w:id="306"/>
    </w:p>
    <w:p w14:paraId="34AB282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color w:val="auto"/>
          <w:sz w:val="24"/>
          <w:szCs w:val="24"/>
          <w:highlight w:val="none"/>
          <w:lang w:val="en-US" w:eastAsia="zh-CN" w:bidi="ar-SA"/>
        </w:rPr>
      </w:pPr>
      <w:bookmarkStart w:id="307" w:name="_Toc21151"/>
      <w:bookmarkStart w:id="308" w:name="_Toc22050"/>
      <w:r>
        <w:rPr>
          <w:rFonts w:hint="eastAsia" w:ascii="仿宋" w:hAnsi="仿宋" w:eastAsia="仿宋" w:cs="仿宋"/>
          <w:b w:val="0"/>
          <w:bCs w:val="0"/>
          <w:color w:val="auto"/>
          <w:sz w:val="24"/>
          <w:szCs w:val="24"/>
          <w:highlight w:val="none"/>
          <w:lang w:val="en-US" w:eastAsia="zh-CN" w:bidi="ar-SA"/>
        </w:rPr>
        <w:t>负责提供高速公路交通统计与路网日常监测事务性、技术性落地辅助服务。</w:t>
      </w:r>
    </w:p>
    <w:p w14:paraId="5BAB31E9">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工作内容：依据交通运输部相关制度和规范要求，辅助开展高速公路日常交通运行监测与数据统计分析服务；2.结合我省高速公路实际情况，构建完善高速公路交通量数据分析框架，采集并处理高速公路重大节假日等相关数据，为开展交通流量预测研判提供技术支撑；3.根据我单位节假日保畅工作部署，辅助草拟省内疏堵保畅方案；4.结合重大节假日路网出行服务需求，辅助编制省内公众高速出行服务指引初稿；5.归集节假日路网运行原始数据，编制总结材料；6.按需完成临时性路段流量统计、现场调研等基础技术辅助工作。</w:t>
      </w:r>
    </w:p>
    <w:p w14:paraId="05892FD3">
      <w:pPr>
        <w:pStyle w:val="191"/>
        <w:pageBreakBefore w:val="0"/>
        <w:widowControl w:val="0"/>
        <w:kinsoku/>
        <w:wordWrap/>
        <w:overflowPunct/>
        <w:topLinePunct w:val="0"/>
        <w:autoSpaceDE/>
        <w:autoSpaceDN/>
        <w:bidi w:val="0"/>
        <w:adjustRightInd/>
        <w:snapToGrid/>
        <w:spacing w:before="2" w:after="2" w:line="480" w:lineRule="exact"/>
        <w:ind w:firstLine="480" w:firstLineChars="200"/>
        <w:jc w:val="left"/>
        <w:textAlignment w:val="auto"/>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工作成果：1.形成高速公路交调系统运行、站点布局与数据质量情况评估报告（1份）及日常交调统计资料（12份）、高速公路交通流量专题数据库（7期）；</w:t>
      </w:r>
    </w:p>
    <w:p w14:paraId="61E4E8C3">
      <w:pPr>
        <w:pStyle w:val="191"/>
        <w:pageBreakBefore w:val="0"/>
        <w:widowControl w:val="0"/>
        <w:kinsoku/>
        <w:wordWrap/>
        <w:overflowPunct/>
        <w:topLinePunct w:val="0"/>
        <w:autoSpaceDE/>
        <w:autoSpaceDN/>
        <w:bidi w:val="0"/>
        <w:adjustRightInd/>
        <w:snapToGrid/>
        <w:spacing w:before="2" w:after="2" w:line="480" w:lineRule="exact"/>
        <w:ind w:firstLine="480" w:firstLineChars="200"/>
        <w:jc w:val="left"/>
        <w:textAlignment w:val="auto"/>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2.形成重大节假日高速公路交通流量预测报告（7份）、高速公路路网保畅工作方案（7份）、高速公路出行服务指南（7份）、路网运行总结材料（7份）；</w:t>
      </w:r>
    </w:p>
    <w:p w14:paraId="3B617043">
      <w:pPr>
        <w:keepNext w:val="0"/>
        <w:keepLines w:val="0"/>
        <w:pageBreakBefore w:val="0"/>
        <w:widowControl w:val="0"/>
        <w:numPr>
          <w:ilvl w:val="0"/>
          <w:numId w:val="0"/>
        </w:numPr>
        <w:kinsoku/>
        <w:wordWrap/>
        <w:overflowPunct/>
        <w:topLinePunct w:val="0"/>
        <w:autoSpaceDE/>
        <w:autoSpaceDN/>
        <w:bidi w:val="0"/>
        <w:adjustRightInd/>
        <w:snapToGrid/>
        <w:spacing w:line="480" w:lineRule="exact"/>
        <w:textAlignment w:val="auto"/>
        <w:rPr>
          <w:rFonts w:hint="eastAsia" w:ascii="仿宋" w:hAnsi="仿宋" w:eastAsia="仿宋" w:cs="仿宋"/>
          <w:b w:val="0"/>
          <w:bCs w:val="0"/>
          <w:color w:val="auto"/>
          <w:sz w:val="24"/>
          <w:szCs w:val="24"/>
          <w:highlight w:val="none"/>
          <w:lang w:val="en-US" w:eastAsia="zh-CN" w:bidi="ar-SA"/>
        </w:rPr>
      </w:pPr>
    </w:p>
    <w:p w14:paraId="05FDA81E">
      <w:pPr>
        <w:pStyle w:val="191"/>
        <w:pageBreakBefore w:val="0"/>
        <w:widowControl w:val="0"/>
        <w:kinsoku/>
        <w:wordWrap/>
        <w:overflowPunct/>
        <w:topLinePunct w:val="0"/>
        <w:autoSpaceDE/>
        <w:autoSpaceDN/>
        <w:bidi w:val="0"/>
        <w:adjustRightInd/>
        <w:snapToGrid/>
        <w:spacing w:before="2" w:after="2" w:line="480" w:lineRule="exact"/>
        <w:jc w:val="left"/>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二、</w:t>
      </w:r>
      <w:bookmarkEnd w:id="307"/>
      <w:r>
        <w:rPr>
          <w:rFonts w:hint="eastAsia" w:ascii="仿宋" w:hAnsi="仿宋" w:eastAsia="仿宋" w:cs="仿宋"/>
          <w:color w:val="auto"/>
          <w:sz w:val="28"/>
          <w:szCs w:val="28"/>
          <w:highlight w:val="none"/>
          <w:lang w:val="en-US" w:eastAsia="zh-CN"/>
        </w:rPr>
        <w:t>验收标准</w:t>
      </w:r>
      <w:bookmarkEnd w:id="308"/>
    </w:p>
    <w:p w14:paraId="45C72BC3">
      <w:pPr>
        <w:pStyle w:val="191"/>
        <w:pageBreakBefore w:val="0"/>
        <w:widowControl w:val="0"/>
        <w:kinsoku/>
        <w:wordWrap/>
        <w:overflowPunct/>
        <w:topLinePunct w:val="0"/>
        <w:autoSpaceDE/>
        <w:autoSpaceDN/>
        <w:bidi w:val="0"/>
        <w:adjustRightInd/>
        <w:snapToGrid/>
        <w:spacing w:before="2" w:after="2" w:line="480" w:lineRule="exact"/>
        <w:ind w:firstLine="480" w:firstLineChars="200"/>
        <w:jc w:val="left"/>
        <w:textAlignment w:val="auto"/>
        <w:rPr>
          <w:rFonts w:hint="default" w:ascii="仿宋" w:hAnsi="仿宋" w:eastAsia="仿宋" w:cs="仿宋"/>
          <w:color w:val="auto"/>
          <w:sz w:val="28"/>
          <w:szCs w:val="28"/>
          <w:highlight w:val="none"/>
          <w:lang w:val="en-US" w:eastAsia="zh-CN"/>
        </w:rPr>
      </w:pPr>
      <w:bookmarkStart w:id="309" w:name="_Toc23761"/>
      <w:bookmarkStart w:id="310" w:name="_Toc13969"/>
      <w:r>
        <w:rPr>
          <w:rFonts w:hint="eastAsia" w:ascii="仿宋" w:hAnsi="仿宋" w:eastAsia="仿宋" w:cs="仿宋"/>
          <w:b w:val="0"/>
          <w:bCs w:val="0"/>
          <w:color w:val="auto"/>
          <w:sz w:val="24"/>
          <w:szCs w:val="24"/>
          <w:highlight w:val="none"/>
          <w:lang w:val="en-US" w:eastAsia="zh-CN" w:bidi="ar-SA"/>
        </w:rPr>
        <w:t>按照《江苏省政府采购履约验收管理办法》开展验收，采购人对成果资料完整性、数据准确性、结论科学性、内容合规性进行审核，通过审查即为验收合格。</w:t>
      </w:r>
      <w:r>
        <w:rPr>
          <w:color w:val="auto"/>
          <w:highlight w:val="none"/>
        </w:rPr>
        <w:br w:type="textWrapping"/>
      </w:r>
      <w:r>
        <w:rPr>
          <w:rFonts w:hint="eastAsia" w:ascii="仿宋" w:hAnsi="仿宋" w:eastAsia="仿宋" w:cs="仿宋"/>
          <w:color w:val="auto"/>
          <w:sz w:val="28"/>
          <w:szCs w:val="28"/>
          <w:highlight w:val="none"/>
          <w:lang w:val="en-US" w:eastAsia="zh-CN"/>
        </w:rPr>
        <w:t>三、付款方式</w:t>
      </w:r>
      <w:bookmarkEnd w:id="309"/>
      <w:bookmarkEnd w:id="310"/>
    </w:p>
    <w:p w14:paraId="6A5580E2">
      <w:pPr>
        <w:pStyle w:val="191"/>
        <w:pageBreakBefore w:val="0"/>
        <w:widowControl w:val="0"/>
        <w:kinsoku/>
        <w:wordWrap/>
        <w:overflowPunct/>
        <w:topLinePunct w:val="0"/>
        <w:autoSpaceDE/>
        <w:autoSpaceDN/>
        <w:bidi w:val="0"/>
        <w:adjustRightInd/>
        <w:snapToGrid/>
        <w:spacing w:before="2" w:after="2" w:line="480" w:lineRule="exact"/>
        <w:ind w:firstLine="480" w:firstLineChars="200"/>
        <w:jc w:val="left"/>
        <w:textAlignment w:val="auto"/>
        <w:rPr>
          <w:rFonts w:hint="eastAsia" w:ascii="仿宋" w:hAnsi="仿宋" w:eastAsia="仿宋" w:cs="仿宋"/>
          <w:b w:val="0"/>
          <w:bCs w:val="0"/>
          <w:color w:val="auto"/>
          <w:sz w:val="24"/>
          <w:szCs w:val="24"/>
          <w:highlight w:val="none"/>
          <w:lang w:val="en-US" w:eastAsia="zh-CN" w:bidi="ar-SA"/>
        </w:rPr>
      </w:pPr>
      <w:bookmarkStart w:id="311" w:name="_Toc18386"/>
      <w:bookmarkStart w:id="312" w:name="_Toc12639"/>
      <w:r>
        <w:rPr>
          <w:rFonts w:hint="eastAsia" w:ascii="仿宋" w:hAnsi="仿宋" w:eastAsia="仿宋" w:cs="仿宋"/>
          <w:b w:val="0"/>
          <w:bCs w:val="0"/>
          <w:color w:val="auto"/>
          <w:sz w:val="24"/>
          <w:szCs w:val="24"/>
          <w:highlight w:val="none"/>
          <w:lang w:val="en-US" w:eastAsia="zh-CN" w:bidi="ar-SA"/>
        </w:rPr>
        <w:t>1.合同签订后30个工作日内支付合同总金额的50%；</w:t>
      </w:r>
    </w:p>
    <w:p w14:paraId="6D3E55FC">
      <w:pPr>
        <w:pStyle w:val="191"/>
        <w:pageBreakBefore w:val="0"/>
        <w:widowControl w:val="0"/>
        <w:kinsoku/>
        <w:wordWrap/>
        <w:overflowPunct/>
        <w:topLinePunct w:val="0"/>
        <w:autoSpaceDE/>
        <w:autoSpaceDN/>
        <w:bidi w:val="0"/>
        <w:adjustRightInd/>
        <w:snapToGrid/>
        <w:spacing w:before="2" w:after="2" w:line="480" w:lineRule="exact"/>
        <w:ind w:firstLine="480" w:firstLineChars="200"/>
        <w:jc w:val="left"/>
        <w:textAlignment w:val="auto"/>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2.服务期结束并提交成果，经采购人验收合格后30个工作日内支付剩余50%。</w:t>
      </w:r>
    </w:p>
    <w:p w14:paraId="0B75965E">
      <w:pPr>
        <w:pStyle w:val="191"/>
        <w:pageBreakBefore w:val="0"/>
        <w:widowControl w:val="0"/>
        <w:kinsoku/>
        <w:wordWrap/>
        <w:overflowPunct/>
        <w:topLinePunct w:val="0"/>
        <w:autoSpaceDE/>
        <w:autoSpaceDN/>
        <w:bidi w:val="0"/>
        <w:adjustRightInd/>
        <w:snapToGrid/>
        <w:spacing w:before="2" w:after="2" w:line="480" w:lineRule="exact"/>
        <w:ind w:firstLine="480" w:firstLineChars="200"/>
        <w:jc w:val="left"/>
        <w:textAlignment w:val="auto"/>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3.供应商须提供合法有效票据，否则采购人可顺延付款。</w:t>
      </w:r>
    </w:p>
    <w:p w14:paraId="4725074F">
      <w:pPr>
        <w:pStyle w:val="191"/>
        <w:pageBreakBefore w:val="0"/>
        <w:widowControl w:val="0"/>
        <w:kinsoku/>
        <w:wordWrap/>
        <w:overflowPunct/>
        <w:topLinePunct w:val="0"/>
        <w:autoSpaceDE/>
        <w:autoSpaceDN/>
        <w:bidi w:val="0"/>
        <w:adjustRightInd/>
        <w:snapToGrid/>
        <w:spacing w:before="2" w:after="2" w:line="480" w:lineRule="exact"/>
        <w:jc w:val="left"/>
        <w:textAlignment w:val="auto"/>
        <w:rPr>
          <w:rFonts w:ascii="仿宋" w:hAnsi="仿宋" w:eastAsia="仿宋" w:cs="仿宋"/>
          <w:color w:val="auto"/>
          <w:sz w:val="28"/>
          <w:szCs w:val="28"/>
          <w:highlight w:val="none"/>
        </w:rPr>
      </w:pPr>
      <w:r>
        <w:rPr>
          <w:rFonts w:hint="eastAsia" w:ascii="仿宋" w:hAnsi="仿宋" w:eastAsia="仿宋" w:cs="仿宋"/>
          <w:b/>
          <w:bCs/>
          <w:color w:val="auto"/>
          <w:sz w:val="24"/>
          <w:szCs w:val="24"/>
          <w:highlight w:val="none"/>
          <w:u w:val="single"/>
          <w:lang w:bidi="en-US"/>
        </w:rPr>
        <w:t>★</w:t>
      </w:r>
      <w:r>
        <w:rPr>
          <w:rFonts w:hint="eastAsia" w:ascii="仿宋" w:hAnsi="仿宋" w:eastAsia="仿宋" w:cs="仿宋"/>
          <w:b/>
          <w:bCs/>
          <w:color w:val="auto"/>
          <w:sz w:val="24"/>
          <w:szCs w:val="24"/>
          <w:highlight w:val="none"/>
          <w:u w:val="single"/>
          <w:lang w:eastAsia="zh-CN" w:bidi="en-US"/>
        </w:rPr>
        <w:t>四</w:t>
      </w:r>
      <w:r>
        <w:rPr>
          <w:rFonts w:hint="eastAsia" w:ascii="仿宋" w:hAnsi="仿宋" w:eastAsia="仿宋" w:cs="仿宋"/>
          <w:color w:val="auto"/>
          <w:sz w:val="28"/>
          <w:szCs w:val="28"/>
          <w:highlight w:val="none"/>
        </w:rPr>
        <w:t>、其他要求</w:t>
      </w:r>
      <w:bookmarkEnd w:id="311"/>
      <w:bookmarkEnd w:id="312"/>
    </w:p>
    <w:p w14:paraId="042574B9">
      <w:pPr>
        <w:pageBreakBefore w:val="0"/>
        <w:widowControl w:val="0"/>
        <w:kinsoku/>
        <w:wordWrap/>
        <w:overflowPunct/>
        <w:topLinePunct w:val="0"/>
        <w:autoSpaceDE/>
        <w:autoSpaceDN/>
        <w:bidi w:val="0"/>
        <w:adjustRightInd/>
        <w:snapToGrid/>
        <w:spacing w:line="480" w:lineRule="exact"/>
        <w:ind w:firstLine="480"/>
        <w:textAlignment w:val="auto"/>
        <w:rPr>
          <w:rFonts w:ascii="仿宋" w:hAnsi="仿宋" w:eastAsia="仿宋" w:cs="仿宋"/>
          <w:color w:val="auto"/>
          <w:sz w:val="24"/>
          <w:szCs w:val="24"/>
          <w:highlight w:val="none"/>
          <w:lang w:bidi="en-US"/>
        </w:rPr>
      </w:pPr>
      <w:r>
        <w:rPr>
          <w:rFonts w:hint="eastAsia" w:ascii="仿宋" w:hAnsi="仿宋" w:eastAsia="仿宋" w:cs="仿宋"/>
          <w:color w:val="auto"/>
          <w:sz w:val="24"/>
          <w:szCs w:val="24"/>
          <w:highlight w:val="none"/>
          <w:lang w:bidi="en-US"/>
        </w:rPr>
        <w:t>根据江苏省交通运输综合行政执法监督局党风廉政相关要求，投标人须签署</w:t>
      </w:r>
      <w:r>
        <w:rPr>
          <w:rFonts w:hint="eastAsia" w:ascii="仿宋" w:hAnsi="仿宋" w:eastAsia="仿宋" w:cs="仿宋"/>
          <w:b/>
          <w:bCs/>
          <w:color w:val="auto"/>
          <w:sz w:val="24"/>
          <w:szCs w:val="24"/>
          <w:highlight w:val="none"/>
          <w:lang w:bidi="en-US"/>
        </w:rPr>
        <w:t>《规范招标及履约行为提醒单》</w:t>
      </w:r>
      <w:r>
        <w:rPr>
          <w:rFonts w:hint="eastAsia" w:ascii="仿宋" w:hAnsi="仿宋" w:eastAsia="仿宋" w:cs="仿宋"/>
          <w:color w:val="auto"/>
          <w:sz w:val="24"/>
          <w:szCs w:val="24"/>
          <w:highlight w:val="none"/>
          <w:lang w:bidi="en-US"/>
        </w:rPr>
        <w:t>并与投标文件一并提交（详见附件1）。</w:t>
      </w:r>
    </w:p>
    <w:p w14:paraId="04F09274">
      <w:pPr>
        <w:pageBreakBefore w:val="0"/>
        <w:widowControl w:val="0"/>
        <w:tabs>
          <w:tab w:val="left" w:pos="6200"/>
        </w:tabs>
        <w:kinsoku/>
        <w:wordWrap/>
        <w:overflowPunct/>
        <w:topLinePunct w:val="0"/>
        <w:autoSpaceDE/>
        <w:autoSpaceDN/>
        <w:bidi w:val="0"/>
        <w:adjustRightInd/>
        <w:snapToGrid/>
        <w:spacing w:line="480" w:lineRule="exact"/>
        <w:textAlignment w:val="auto"/>
        <w:rPr>
          <w:rFonts w:ascii="仿宋" w:hAnsi="仿宋" w:eastAsia="仿宋" w:cs="仿宋"/>
          <w:color w:val="auto"/>
          <w:sz w:val="24"/>
          <w:szCs w:val="24"/>
          <w:highlight w:val="none"/>
          <w:lang w:bidi="en-US"/>
        </w:rPr>
      </w:pPr>
    </w:p>
    <w:p w14:paraId="0A695A37">
      <w:pPr>
        <w:pageBreakBefore w:val="0"/>
        <w:widowControl w:val="0"/>
        <w:tabs>
          <w:tab w:val="left" w:pos="6200"/>
        </w:tabs>
        <w:kinsoku/>
        <w:wordWrap/>
        <w:overflowPunct/>
        <w:topLinePunct w:val="0"/>
        <w:autoSpaceDE/>
        <w:autoSpaceDN/>
        <w:bidi w:val="0"/>
        <w:adjustRightInd/>
        <w:snapToGrid/>
        <w:spacing w:line="480" w:lineRule="exact"/>
        <w:ind w:firstLine="482"/>
        <w:textAlignment w:val="auto"/>
        <w:rPr>
          <w:rFonts w:hint="eastAsia" w:ascii="仿宋" w:hAnsi="仿宋" w:eastAsia="仿宋" w:cs="仿宋"/>
          <w:color w:val="auto"/>
          <w:sz w:val="24"/>
          <w:szCs w:val="24"/>
          <w:highlight w:val="none"/>
          <w:lang w:bidi="en-US"/>
        </w:rPr>
      </w:pPr>
      <w:r>
        <w:rPr>
          <w:rFonts w:hint="eastAsia" w:ascii="仿宋" w:hAnsi="仿宋" w:eastAsia="仿宋" w:cs="仿宋"/>
          <w:b/>
          <w:bCs/>
          <w:color w:val="auto"/>
          <w:sz w:val="24"/>
          <w:szCs w:val="24"/>
          <w:highlight w:val="none"/>
          <w:u w:val="single"/>
          <w:lang w:bidi="en-US"/>
        </w:rPr>
        <w:t>注：以上内容标“★”号为必须满足，投标人须作出响应承诺</w:t>
      </w:r>
      <w:r>
        <w:rPr>
          <w:rFonts w:ascii="仿宋" w:hAnsi="仿宋" w:eastAsia="仿宋" w:cs="仿宋"/>
          <w:b/>
          <w:bCs/>
          <w:color w:val="auto"/>
          <w:sz w:val="24"/>
          <w:szCs w:val="24"/>
          <w:highlight w:val="none"/>
          <w:u w:val="single"/>
          <w:lang w:bidi="en-US"/>
        </w:rPr>
        <w:t>,</w:t>
      </w:r>
      <w:r>
        <w:rPr>
          <w:rFonts w:hint="eastAsia" w:ascii="仿宋" w:hAnsi="仿宋" w:eastAsia="仿宋" w:cs="仿宋"/>
          <w:b/>
          <w:bCs/>
          <w:color w:val="auto"/>
          <w:sz w:val="24"/>
          <w:szCs w:val="24"/>
          <w:highlight w:val="none"/>
          <w:u w:val="single"/>
          <w:lang w:bidi="en-US"/>
        </w:rPr>
        <w:t>否则投标文件作无效投标处理</w:t>
      </w:r>
      <w:r>
        <w:rPr>
          <w:rFonts w:hint="eastAsia" w:ascii="仿宋" w:hAnsi="仿宋" w:eastAsia="仿宋" w:cs="仿宋"/>
          <w:color w:val="auto"/>
          <w:sz w:val="24"/>
          <w:szCs w:val="24"/>
          <w:highlight w:val="none"/>
          <w:lang w:bidi="en-US"/>
        </w:rPr>
        <w:t>。</w:t>
      </w:r>
    </w:p>
    <w:p w14:paraId="347D2518">
      <w:pPr>
        <w:pageBreakBefore w:val="0"/>
        <w:widowControl w:val="0"/>
        <w:tabs>
          <w:tab w:val="left" w:pos="6200"/>
        </w:tabs>
        <w:kinsoku/>
        <w:wordWrap/>
        <w:overflowPunct/>
        <w:topLinePunct w:val="0"/>
        <w:autoSpaceDE/>
        <w:autoSpaceDN/>
        <w:bidi w:val="0"/>
        <w:adjustRightInd/>
        <w:snapToGrid/>
        <w:spacing w:line="480" w:lineRule="exact"/>
        <w:ind w:firstLine="482"/>
        <w:textAlignment w:val="auto"/>
        <w:rPr>
          <w:rFonts w:hint="eastAsia" w:ascii="仿宋" w:hAnsi="仿宋" w:eastAsia="仿宋" w:cs="仿宋"/>
          <w:color w:val="auto"/>
          <w:sz w:val="24"/>
          <w:szCs w:val="24"/>
          <w:highlight w:val="none"/>
          <w:lang w:bidi="en-US"/>
        </w:rPr>
      </w:pPr>
    </w:p>
    <w:p w14:paraId="06DA2734">
      <w:pPr>
        <w:pageBreakBefore w:val="0"/>
        <w:widowControl w:val="0"/>
        <w:tabs>
          <w:tab w:val="left" w:pos="6200"/>
        </w:tabs>
        <w:kinsoku/>
        <w:wordWrap/>
        <w:overflowPunct/>
        <w:topLinePunct w:val="0"/>
        <w:autoSpaceDE/>
        <w:autoSpaceDN/>
        <w:bidi w:val="0"/>
        <w:adjustRightInd/>
        <w:snapToGrid/>
        <w:spacing w:line="480" w:lineRule="exact"/>
        <w:ind w:firstLine="482"/>
        <w:textAlignment w:val="auto"/>
        <w:rPr>
          <w:rFonts w:hint="eastAsia" w:ascii="仿宋" w:hAnsi="仿宋" w:eastAsia="仿宋" w:cs="仿宋"/>
          <w:color w:val="auto"/>
          <w:sz w:val="24"/>
          <w:szCs w:val="24"/>
          <w:highlight w:val="none"/>
          <w:lang w:bidi="en-US"/>
        </w:rPr>
        <w:sectPr>
          <w:pgSz w:w="11906" w:h="16838"/>
          <w:pgMar w:top="1440" w:right="1080" w:bottom="1440" w:left="1080" w:header="851" w:footer="907" w:gutter="0"/>
          <w:pgNumType w:fmt="decimal"/>
          <w:cols w:space="720" w:num="1"/>
          <w:docGrid w:linePitch="360" w:charSpace="0"/>
        </w:sectPr>
      </w:pPr>
    </w:p>
    <w:p w14:paraId="4FF5AC6E">
      <w:pPr>
        <w:pStyle w:val="191"/>
        <w:pageBreakBefore w:val="0"/>
        <w:widowControl w:val="0"/>
        <w:kinsoku/>
        <w:wordWrap/>
        <w:overflowPunct/>
        <w:topLinePunct w:val="0"/>
        <w:autoSpaceDE/>
        <w:autoSpaceDN/>
        <w:bidi w:val="0"/>
        <w:adjustRightInd/>
        <w:snapToGrid/>
        <w:spacing w:before="2" w:after="2" w:line="480" w:lineRule="exact"/>
        <w:jc w:val="left"/>
        <w:textAlignment w:val="auto"/>
        <w:rPr>
          <w:rFonts w:hint="default" w:ascii="仿宋" w:hAnsi="仿宋" w:eastAsia="仿宋" w:cs="仿宋"/>
          <w:color w:val="auto"/>
          <w:sz w:val="28"/>
          <w:szCs w:val="28"/>
          <w:highlight w:val="none"/>
          <w:lang w:val="en-US" w:eastAsia="zh-CN"/>
        </w:rPr>
      </w:pPr>
      <w:bookmarkStart w:id="313" w:name="_Toc83"/>
      <w:r>
        <w:rPr>
          <w:rFonts w:hint="eastAsia" w:ascii="仿宋" w:hAnsi="仿宋" w:eastAsia="仿宋" w:cs="仿宋"/>
          <w:color w:val="auto"/>
          <w:sz w:val="28"/>
          <w:szCs w:val="28"/>
          <w:highlight w:val="none"/>
          <w:lang w:val="en-US" w:eastAsia="zh-CN"/>
        </w:rPr>
        <w:t>分包二：</w:t>
      </w:r>
      <w:bookmarkEnd w:id="313"/>
      <w:r>
        <w:rPr>
          <w:rFonts w:hint="eastAsia" w:ascii="仿宋" w:hAnsi="仿宋" w:eastAsia="仿宋" w:cs="仿宋"/>
          <w:color w:val="auto"/>
          <w:sz w:val="28"/>
          <w:szCs w:val="28"/>
          <w:highlight w:val="none"/>
          <w:lang w:val="en-US" w:eastAsia="zh-CN"/>
        </w:rPr>
        <w:t>长三角高速跨区域路网管控辅助服务</w:t>
      </w:r>
    </w:p>
    <w:p w14:paraId="74859207">
      <w:pPr>
        <w:pStyle w:val="191"/>
        <w:pageBreakBefore w:val="0"/>
        <w:widowControl w:val="0"/>
        <w:kinsoku/>
        <w:wordWrap/>
        <w:overflowPunct/>
        <w:topLinePunct w:val="0"/>
        <w:autoSpaceDE/>
        <w:autoSpaceDN/>
        <w:bidi w:val="0"/>
        <w:adjustRightInd/>
        <w:snapToGrid/>
        <w:spacing w:before="2" w:after="2" w:line="480" w:lineRule="exact"/>
        <w:jc w:val="left"/>
        <w:textAlignment w:val="auto"/>
        <w:rPr>
          <w:rFonts w:hint="eastAsia" w:ascii="仿宋" w:hAnsi="仿宋" w:eastAsia="仿宋" w:cs="仿宋"/>
          <w:color w:val="auto"/>
          <w:sz w:val="28"/>
          <w:szCs w:val="28"/>
          <w:highlight w:val="none"/>
        </w:rPr>
      </w:pPr>
      <w:bookmarkStart w:id="314" w:name="_Toc17966"/>
      <w:r>
        <w:rPr>
          <w:rFonts w:hint="eastAsia" w:ascii="仿宋" w:hAnsi="仿宋" w:eastAsia="仿宋" w:cs="仿宋"/>
          <w:color w:val="auto"/>
          <w:sz w:val="28"/>
          <w:szCs w:val="28"/>
          <w:highlight w:val="none"/>
        </w:rPr>
        <w:t>一、</w:t>
      </w:r>
      <w:bookmarkEnd w:id="314"/>
      <w:bookmarkStart w:id="315" w:name="_Toc21173"/>
      <w:r>
        <w:rPr>
          <w:rFonts w:hint="eastAsia" w:ascii="仿宋" w:hAnsi="仿宋" w:eastAsia="仿宋" w:cs="仿宋"/>
          <w:color w:val="auto"/>
          <w:sz w:val="28"/>
          <w:szCs w:val="28"/>
          <w:highlight w:val="none"/>
        </w:rPr>
        <w:t>工作内容及成果</w:t>
      </w:r>
      <w:bookmarkEnd w:id="315"/>
    </w:p>
    <w:p w14:paraId="146E19A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color w:val="auto"/>
          <w:sz w:val="24"/>
          <w:szCs w:val="24"/>
          <w:highlight w:val="none"/>
          <w:lang w:val="en-US" w:eastAsia="zh-CN" w:bidi="ar-SA"/>
        </w:rPr>
      </w:pPr>
      <w:bookmarkStart w:id="316" w:name="_Toc20040"/>
      <w:r>
        <w:rPr>
          <w:rFonts w:hint="eastAsia" w:ascii="仿宋" w:hAnsi="仿宋" w:eastAsia="仿宋" w:cs="仿宋"/>
          <w:b w:val="0"/>
          <w:bCs w:val="0"/>
          <w:color w:val="auto"/>
          <w:sz w:val="24"/>
          <w:szCs w:val="24"/>
          <w:highlight w:val="none"/>
          <w:lang w:val="en-US" w:eastAsia="zh-CN" w:bidi="ar-SA"/>
        </w:rPr>
        <w:t>负责为长三角路网协同统筹、全省保畅管理工作提供跨区域专项技术辅助支撑。</w:t>
      </w:r>
    </w:p>
    <w:p w14:paraId="141F5C22">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工作内容：1.归集全国各省高速保畅管理相关素材，借鉴各地实施举措和经验做法，推进跨省协同疏堵优化，形成长三角高速公路重大节假日大流量路网管控策略。2.重点就长三角区域路网跨省应急协同、远程诱导、联动管控和智慧出行服务等方面开展现状分析，梳理形成长三角高速公路重大节假日常发性拥堵点位“一张清单”。3.聚焦高速公路保通保畅核心举措，系统评估重大节假日期间江苏高速公路管理部门在监测预警、指挥调度、交通管控、高普联动、跨省协同、应急救援、科技创新、智慧出行等方面的主要做法，分析存在问题不足，优化举措，形成高速公路重大节假日保通保畅典型案例集。</w:t>
      </w:r>
    </w:p>
    <w:p w14:paraId="4DE717E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工作成果：</w:t>
      </w:r>
    </w:p>
    <w:p w14:paraId="56BE665E">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1.形成长三角高速公路重大节假日大流量路网管控策略1份；</w:t>
      </w:r>
    </w:p>
    <w:p w14:paraId="15630B27">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2.形成长三角高速公路重大节假日常发性拥堵点位“一张清单”1份；</w:t>
      </w:r>
    </w:p>
    <w:p w14:paraId="044114E9">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3.形成高速公路重大节假日保通保畅典型案例集1份。</w:t>
      </w:r>
    </w:p>
    <w:p w14:paraId="3F58665B">
      <w:pPr>
        <w:pStyle w:val="191"/>
        <w:pageBreakBefore w:val="0"/>
        <w:widowControl w:val="0"/>
        <w:kinsoku/>
        <w:wordWrap/>
        <w:overflowPunct/>
        <w:topLinePunct w:val="0"/>
        <w:autoSpaceDE/>
        <w:autoSpaceDN/>
        <w:bidi w:val="0"/>
        <w:adjustRightInd/>
        <w:snapToGrid/>
        <w:spacing w:before="2" w:after="2" w:line="480" w:lineRule="exact"/>
        <w:jc w:val="left"/>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三、</w:t>
      </w:r>
      <w:r>
        <w:rPr>
          <w:rFonts w:hint="eastAsia" w:ascii="仿宋" w:hAnsi="仿宋" w:eastAsia="仿宋" w:cs="仿宋"/>
          <w:color w:val="auto"/>
          <w:sz w:val="28"/>
          <w:szCs w:val="28"/>
          <w:highlight w:val="none"/>
          <w:lang w:val="en-US" w:eastAsia="zh-CN"/>
        </w:rPr>
        <w:t>验收标准</w:t>
      </w:r>
      <w:bookmarkEnd w:id="316"/>
    </w:p>
    <w:p w14:paraId="07C1D38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按照《江苏省政府采购履约验收管理办法》开展验收，采购人对成果资料完整性、数据准确性、结论科学性、内容合规性进行审核，通过审查即为验收合格。</w:t>
      </w:r>
    </w:p>
    <w:p w14:paraId="3228D9B8">
      <w:pPr>
        <w:pStyle w:val="191"/>
        <w:pageBreakBefore w:val="0"/>
        <w:widowControl w:val="0"/>
        <w:kinsoku/>
        <w:wordWrap/>
        <w:overflowPunct/>
        <w:topLinePunct w:val="0"/>
        <w:autoSpaceDE/>
        <w:autoSpaceDN/>
        <w:bidi w:val="0"/>
        <w:adjustRightInd/>
        <w:snapToGrid/>
        <w:spacing w:before="2" w:after="2" w:line="480" w:lineRule="exact"/>
        <w:jc w:val="left"/>
        <w:textAlignment w:val="auto"/>
        <w:rPr>
          <w:rFonts w:hint="default" w:ascii="仿宋" w:hAnsi="仿宋" w:eastAsia="仿宋" w:cs="仿宋"/>
          <w:color w:val="auto"/>
          <w:sz w:val="28"/>
          <w:szCs w:val="28"/>
          <w:highlight w:val="none"/>
          <w:lang w:val="en-US" w:eastAsia="zh-CN"/>
        </w:rPr>
      </w:pPr>
      <w:bookmarkStart w:id="317" w:name="_Toc1480"/>
      <w:r>
        <w:rPr>
          <w:rFonts w:hint="eastAsia" w:ascii="仿宋" w:hAnsi="仿宋" w:eastAsia="仿宋" w:cs="仿宋"/>
          <w:color w:val="auto"/>
          <w:sz w:val="28"/>
          <w:szCs w:val="28"/>
          <w:highlight w:val="none"/>
          <w:lang w:val="en-US" w:eastAsia="zh-CN"/>
        </w:rPr>
        <w:t>四</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付款方式</w:t>
      </w:r>
      <w:bookmarkEnd w:id="317"/>
    </w:p>
    <w:p w14:paraId="7BD922E0">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color w:val="auto"/>
          <w:sz w:val="24"/>
          <w:szCs w:val="24"/>
          <w:highlight w:val="none"/>
          <w:lang w:val="en-US" w:eastAsia="zh-CN" w:bidi="ar-SA"/>
        </w:rPr>
      </w:pPr>
      <w:bookmarkStart w:id="318" w:name="_Toc30604"/>
      <w:r>
        <w:rPr>
          <w:rFonts w:hint="eastAsia" w:ascii="仿宋" w:hAnsi="仿宋" w:eastAsia="仿宋" w:cs="仿宋"/>
          <w:b w:val="0"/>
          <w:bCs w:val="0"/>
          <w:color w:val="auto"/>
          <w:sz w:val="24"/>
          <w:szCs w:val="24"/>
          <w:highlight w:val="none"/>
          <w:lang w:val="en-US" w:eastAsia="zh-CN" w:bidi="ar-SA"/>
        </w:rPr>
        <w:t>1.合同签订后30个工作日内支付合同总金额的50%；</w:t>
      </w:r>
    </w:p>
    <w:p w14:paraId="787610FA">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2.服务期结束并提交成果，经采购人验收合格后30个工作日内支付剩余50%。</w:t>
      </w:r>
    </w:p>
    <w:p w14:paraId="7D810341">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3.供应商须提供合法有效票据，否则采购人可顺延付款。</w:t>
      </w:r>
    </w:p>
    <w:p w14:paraId="05600159">
      <w:pPr>
        <w:pStyle w:val="191"/>
        <w:pageBreakBefore w:val="0"/>
        <w:widowControl w:val="0"/>
        <w:kinsoku/>
        <w:wordWrap/>
        <w:overflowPunct/>
        <w:topLinePunct w:val="0"/>
        <w:autoSpaceDE/>
        <w:autoSpaceDN/>
        <w:bidi w:val="0"/>
        <w:adjustRightInd/>
        <w:snapToGrid/>
        <w:spacing w:before="2" w:after="2" w:line="480" w:lineRule="exact"/>
        <w:jc w:val="left"/>
        <w:textAlignment w:val="auto"/>
        <w:rPr>
          <w:rFonts w:ascii="仿宋" w:hAnsi="仿宋" w:eastAsia="仿宋" w:cs="仿宋"/>
          <w:color w:val="auto"/>
          <w:sz w:val="28"/>
          <w:szCs w:val="28"/>
          <w:highlight w:val="none"/>
        </w:rPr>
      </w:pPr>
      <w:r>
        <w:rPr>
          <w:rFonts w:hint="eastAsia" w:ascii="仿宋" w:hAnsi="仿宋" w:eastAsia="仿宋" w:cs="仿宋"/>
          <w:b/>
          <w:bCs/>
          <w:color w:val="auto"/>
          <w:sz w:val="24"/>
          <w:szCs w:val="24"/>
          <w:highlight w:val="none"/>
          <w:u w:val="single"/>
          <w:lang w:bidi="en-US"/>
        </w:rPr>
        <w:t>★</w:t>
      </w:r>
      <w:r>
        <w:rPr>
          <w:rFonts w:hint="eastAsia" w:ascii="仿宋" w:hAnsi="仿宋" w:eastAsia="仿宋" w:cs="仿宋"/>
          <w:color w:val="auto"/>
          <w:sz w:val="28"/>
          <w:szCs w:val="28"/>
          <w:highlight w:val="none"/>
          <w:lang w:val="en-US" w:eastAsia="zh-CN"/>
        </w:rPr>
        <w:t>五</w:t>
      </w:r>
      <w:r>
        <w:rPr>
          <w:rFonts w:hint="eastAsia" w:ascii="仿宋" w:hAnsi="仿宋" w:eastAsia="仿宋" w:cs="仿宋"/>
          <w:color w:val="auto"/>
          <w:sz w:val="28"/>
          <w:szCs w:val="28"/>
          <w:highlight w:val="none"/>
        </w:rPr>
        <w:t>、其他要求</w:t>
      </w:r>
      <w:bookmarkEnd w:id="318"/>
    </w:p>
    <w:p w14:paraId="08909153">
      <w:pPr>
        <w:pageBreakBefore w:val="0"/>
        <w:widowControl w:val="0"/>
        <w:kinsoku/>
        <w:wordWrap/>
        <w:overflowPunct/>
        <w:topLinePunct w:val="0"/>
        <w:autoSpaceDE/>
        <w:autoSpaceDN/>
        <w:bidi w:val="0"/>
        <w:adjustRightInd/>
        <w:snapToGrid/>
        <w:spacing w:line="480" w:lineRule="exact"/>
        <w:ind w:firstLine="480"/>
        <w:textAlignment w:val="auto"/>
        <w:rPr>
          <w:rFonts w:ascii="仿宋" w:hAnsi="仿宋" w:eastAsia="仿宋" w:cs="仿宋"/>
          <w:color w:val="auto"/>
          <w:sz w:val="24"/>
          <w:szCs w:val="24"/>
          <w:highlight w:val="none"/>
          <w:lang w:bidi="en-US"/>
        </w:rPr>
      </w:pPr>
      <w:r>
        <w:rPr>
          <w:rFonts w:hint="eastAsia" w:ascii="仿宋" w:hAnsi="仿宋" w:eastAsia="仿宋" w:cs="仿宋"/>
          <w:color w:val="auto"/>
          <w:sz w:val="24"/>
          <w:szCs w:val="24"/>
          <w:highlight w:val="none"/>
          <w:lang w:bidi="en-US"/>
        </w:rPr>
        <w:t>根据江苏省交通运输综合行政执法监督局党风廉政相关要求，投标人须签署</w:t>
      </w:r>
      <w:r>
        <w:rPr>
          <w:rFonts w:hint="eastAsia" w:ascii="仿宋" w:hAnsi="仿宋" w:eastAsia="仿宋" w:cs="仿宋"/>
          <w:b/>
          <w:bCs/>
          <w:color w:val="auto"/>
          <w:sz w:val="24"/>
          <w:szCs w:val="24"/>
          <w:highlight w:val="none"/>
          <w:lang w:bidi="en-US"/>
        </w:rPr>
        <w:t>《规范招标及履约行为提醒单》</w:t>
      </w:r>
      <w:r>
        <w:rPr>
          <w:rFonts w:hint="eastAsia" w:ascii="仿宋" w:hAnsi="仿宋" w:eastAsia="仿宋" w:cs="仿宋"/>
          <w:color w:val="auto"/>
          <w:sz w:val="24"/>
          <w:szCs w:val="24"/>
          <w:highlight w:val="none"/>
          <w:lang w:bidi="en-US"/>
        </w:rPr>
        <w:t>并与投标文件一并提交（详见附件1）。</w:t>
      </w:r>
    </w:p>
    <w:p w14:paraId="09848D24">
      <w:pPr>
        <w:pageBreakBefore w:val="0"/>
        <w:widowControl w:val="0"/>
        <w:tabs>
          <w:tab w:val="left" w:pos="6200"/>
        </w:tabs>
        <w:kinsoku/>
        <w:wordWrap/>
        <w:overflowPunct/>
        <w:topLinePunct w:val="0"/>
        <w:autoSpaceDE/>
        <w:autoSpaceDN/>
        <w:bidi w:val="0"/>
        <w:adjustRightInd/>
        <w:snapToGrid/>
        <w:spacing w:line="480" w:lineRule="exact"/>
        <w:textAlignment w:val="auto"/>
        <w:rPr>
          <w:rFonts w:ascii="仿宋" w:hAnsi="仿宋" w:eastAsia="仿宋" w:cs="仿宋"/>
          <w:color w:val="auto"/>
          <w:sz w:val="24"/>
          <w:szCs w:val="24"/>
          <w:highlight w:val="none"/>
          <w:lang w:bidi="en-US"/>
        </w:rPr>
      </w:pPr>
    </w:p>
    <w:p w14:paraId="3B8F02D9">
      <w:pPr>
        <w:pageBreakBefore w:val="0"/>
        <w:widowControl w:val="0"/>
        <w:tabs>
          <w:tab w:val="left" w:pos="6200"/>
        </w:tabs>
        <w:kinsoku/>
        <w:wordWrap/>
        <w:overflowPunct/>
        <w:topLinePunct w:val="0"/>
        <w:autoSpaceDE/>
        <w:autoSpaceDN/>
        <w:bidi w:val="0"/>
        <w:adjustRightInd/>
        <w:snapToGrid/>
        <w:spacing w:line="480" w:lineRule="exact"/>
        <w:ind w:firstLine="482"/>
        <w:textAlignment w:val="auto"/>
        <w:rPr>
          <w:rFonts w:ascii="仿宋" w:hAnsi="仿宋" w:eastAsia="仿宋" w:cs="仿宋"/>
          <w:b/>
          <w:bCs/>
          <w:color w:val="auto"/>
          <w:sz w:val="24"/>
          <w:szCs w:val="24"/>
          <w:highlight w:val="none"/>
          <w:u w:val="single"/>
          <w:lang w:bidi="en-US"/>
        </w:rPr>
      </w:pPr>
      <w:r>
        <w:rPr>
          <w:rFonts w:hint="eastAsia" w:ascii="仿宋" w:hAnsi="仿宋" w:eastAsia="仿宋" w:cs="仿宋"/>
          <w:b/>
          <w:bCs/>
          <w:color w:val="auto"/>
          <w:sz w:val="24"/>
          <w:szCs w:val="24"/>
          <w:highlight w:val="none"/>
          <w:u w:val="single"/>
          <w:lang w:bidi="en-US"/>
        </w:rPr>
        <w:t>注：以上内容标“★”号为必须满足，投标人须作出响应承诺</w:t>
      </w:r>
      <w:r>
        <w:rPr>
          <w:rFonts w:ascii="仿宋" w:hAnsi="仿宋" w:eastAsia="仿宋" w:cs="仿宋"/>
          <w:b/>
          <w:bCs/>
          <w:color w:val="auto"/>
          <w:sz w:val="24"/>
          <w:szCs w:val="24"/>
          <w:highlight w:val="none"/>
          <w:u w:val="single"/>
          <w:lang w:bidi="en-US"/>
        </w:rPr>
        <w:t>,</w:t>
      </w:r>
      <w:r>
        <w:rPr>
          <w:rFonts w:hint="eastAsia" w:ascii="仿宋" w:hAnsi="仿宋" w:eastAsia="仿宋" w:cs="仿宋"/>
          <w:b/>
          <w:bCs/>
          <w:color w:val="auto"/>
          <w:sz w:val="24"/>
          <w:szCs w:val="24"/>
          <w:highlight w:val="none"/>
          <w:u w:val="single"/>
          <w:lang w:bidi="en-US"/>
        </w:rPr>
        <w:t>否则投标文件作无效投标处理</w:t>
      </w:r>
      <w:r>
        <w:rPr>
          <w:rFonts w:hint="eastAsia" w:ascii="仿宋" w:hAnsi="仿宋" w:eastAsia="仿宋" w:cs="仿宋"/>
          <w:color w:val="auto"/>
          <w:sz w:val="24"/>
          <w:szCs w:val="24"/>
          <w:highlight w:val="none"/>
          <w:lang w:bidi="en-US"/>
        </w:rPr>
        <w:t>。</w:t>
      </w:r>
    </w:p>
    <w:p w14:paraId="6A09DF22">
      <w:pPr>
        <w:pageBreakBefore w:val="0"/>
        <w:widowControl w:val="0"/>
        <w:tabs>
          <w:tab w:val="left" w:pos="6200"/>
        </w:tabs>
        <w:kinsoku/>
        <w:wordWrap/>
        <w:overflowPunct/>
        <w:topLinePunct w:val="0"/>
        <w:autoSpaceDE/>
        <w:autoSpaceDN/>
        <w:bidi w:val="0"/>
        <w:adjustRightInd/>
        <w:snapToGrid/>
        <w:spacing w:line="480" w:lineRule="exact"/>
        <w:ind w:firstLine="482"/>
        <w:textAlignment w:val="auto"/>
        <w:rPr>
          <w:rFonts w:hint="eastAsia" w:ascii="仿宋" w:hAnsi="仿宋" w:eastAsia="仿宋" w:cs="仿宋"/>
          <w:color w:val="auto"/>
          <w:sz w:val="24"/>
          <w:szCs w:val="24"/>
          <w:highlight w:val="none"/>
          <w:lang w:bidi="en-US"/>
        </w:rPr>
        <w:sectPr>
          <w:pgSz w:w="11906" w:h="16838"/>
          <w:pgMar w:top="1440" w:right="1080" w:bottom="1440" w:left="1080" w:header="851" w:footer="907" w:gutter="0"/>
          <w:pgNumType w:fmt="decimal"/>
          <w:cols w:space="720" w:num="1"/>
          <w:docGrid w:linePitch="360" w:charSpace="0"/>
        </w:sectPr>
      </w:pPr>
    </w:p>
    <w:p w14:paraId="5747809D">
      <w:pPr>
        <w:pStyle w:val="190"/>
        <w:rPr>
          <w:rFonts w:ascii="仿宋" w:hAnsi="仿宋" w:eastAsia="仿宋" w:cs="仿宋"/>
          <w:color w:val="auto"/>
          <w:highlight w:val="none"/>
        </w:rPr>
      </w:pPr>
      <w:bookmarkStart w:id="319" w:name="_Toc21665"/>
      <w:r>
        <w:rPr>
          <w:rFonts w:hint="eastAsia" w:ascii="仿宋" w:hAnsi="仿宋" w:eastAsia="仿宋" w:cs="仿宋"/>
          <w:b/>
          <w:bCs/>
          <w:color w:val="auto"/>
          <w:sz w:val="40"/>
          <w:szCs w:val="40"/>
          <w:highlight w:val="none"/>
        </w:rPr>
        <w:t>第五章  评标方法与评标标准</w:t>
      </w:r>
      <w:bookmarkEnd w:id="299"/>
      <w:bookmarkEnd w:id="319"/>
    </w:p>
    <w:p w14:paraId="348DE4CF">
      <w:pPr>
        <w:pStyle w:val="253"/>
        <w:keepNext w:val="0"/>
        <w:keepLines w:val="0"/>
        <w:pageBreakBefore w:val="0"/>
        <w:kinsoku/>
        <w:wordWrap/>
        <w:overflowPunct/>
        <w:topLinePunct w:val="0"/>
        <w:autoSpaceDE/>
        <w:autoSpaceDN/>
        <w:bidi w:val="0"/>
        <w:adjustRightInd/>
        <w:snapToGrid/>
        <w:spacing w:before="0" w:after="0" w:line="480" w:lineRule="exact"/>
        <w:ind w:firstLine="441"/>
        <w:textAlignment w:val="auto"/>
        <w:outlineLvl w:val="1"/>
        <w:rPr>
          <w:rFonts w:ascii="仿宋" w:hAnsi="仿宋" w:eastAsia="仿宋" w:cs="仿宋"/>
          <w:b/>
          <w:color w:val="auto"/>
          <w:highlight w:val="none"/>
        </w:rPr>
      </w:pPr>
      <w:bookmarkStart w:id="320" w:name="_Toc29872"/>
      <w:bookmarkStart w:id="321" w:name="_Toc26099"/>
      <w:r>
        <w:rPr>
          <w:rFonts w:hint="eastAsia" w:ascii="仿宋" w:hAnsi="仿宋" w:eastAsia="仿宋" w:cs="仿宋"/>
          <w:b/>
          <w:color w:val="auto"/>
          <w:highlight w:val="none"/>
        </w:rPr>
        <w:t>一、定标办法</w:t>
      </w:r>
      <w:bookmarkEnd w:id="320"/>
      <w:bookmarkEnd w:id="321"/>
    </w:p>
    <w:p w14:paraId="38C5A522">
      <w:pPr>
        <w:keepNext w:val="0"/>
        <w:keepLines w:val="0"/>
        <w:pageBreakBefore w:val="0"/>
        <w:widowControl w:val="0"/>
        <w:kinsoku/>
        <w:wordWrap/>
        <w:overflowPunct/>
        <w:topLinePunct w:val="0"/>
        <w:autoSpaceDE/>
        <w:autoSpaceDN/>
        <w:bidi w:val="0"/>
        <w:adjustRightInd/>
        <w:snapToGrid/>
        <w:spacing w:line="480" w:lineRule="exact"/>
        <w:ind w:left="437" w:firstLine="480" w:firstLineChars="200"/>
        <w:textAlignment w:val="auto"/>
        <w:rPr>
          <w:rFonts w:hint="eastAsia" w:ascii="仿宋" w:hAnsi="仿宋" w:eastAsia="仿宋" w:cs="仿宋"/>
          <w:color w:val="auto"/>
          <w:sz w:val="24"/>
          <w:szCs w:val="24"/>
          <w:highlight w:val="none"/>
        </w:rPr>
      </w:pPr>
      <w:bookmarkStart w:id="322" w:name="_Toc20283"/>
      <w:r>
        <w:rPr>
          <w:rFonts w:hint="eastAsia" w:ascii="仿宋" w:hAnsi="仿宋" w:eastAsia="仿宋" w:cs="仿宋"/>
          <w:color w:val="auto"/>
          <w:sz w:val="24"/>
          <w:szCs w:val="24"/>
          <w:highlight w:val="none"/>
        </w:rPr>
        <w:t>采用综合评分法，评标结果按评审后得分由高到低顺序排列。得分相同的，按投标报价由低到高顺序排列。得分且投标报价相同的并列。投标文件满足招标文件全部实质性要求，且按照评审因素的量化指标评审得分进行排序，评标委员会将推荐排名前三的中标候选人。</w:t>
      </w:r>
    </w:p>
    <w:p w14:paraId="6F31A563">
      <w:pPr>
        <w:keepNext w:val="0"/>
        <w:keepLines w:val="0"/>
        <w:pageBreakBefore w:val="0"/>
        <w:widowControl w:val="0"/>
        <w:kinsoku/>
        <w:wordWrap/>
        <w:overflowPunct/>
        <w:topLinePunct w:val="0"/>
        <w:autoSpaceDE/>
        <w:autoSpaceDN/>
        <w:bidi w:val="0"/>
        <w:adjustRightInd/>
        <w:snapToGrid/>
        <w:spacing w:line="480" w:lineRule="exact"/>
        <w:ind w:left="437"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本项目分为</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个分包，采用兼投不兼中原则，评标顺序为分包一和分包二分。分包一的第一成交候选人不得成为分包二的第一成交候选人。若分包一的第一成交候选人在分包二中排名第一，则分包二的第一成交候选人顺延至排名第二且符合兼投不兼中原则的候选人，将按照评标规则依次顺延，直至确定符合兼投不兼中原则的第一成交候选人。</w:t>
      </w:r>
    </w:p>
    <w:p w14:paraId="3A7BFE41">
      <w:pPr>
        <w:pStyle w:val="253"/>
        <w:keepNext w:val="0"/>
        <w:keepLines w:val="0"/>
        <w:pageBreakBefore w:val="0"/>
        <w:kinsoku/>
        <w:wordWrap/>
        <w:overflowPunct/>
        <w:topLinePunct w:val="0"/>
        <w:autoSpaceDE/>
        <w:autoSpaceDN/>
        <w:bidi w:val="0"/>
        <w:adjustRightInd/>
        <w:snapToGrid/>
        <w:spacing w:before="0" w:after="0" w:line="480" w:lineRule="exact"/>
        <w:ind w:firstLine="441"/>
        <w:textAlignment w:val="auto"/>
        <w:outlineLvl w:val="1"/>
        <w:rPr>
          <w:rFonts w:hint="eastAsia" w:ascii="仿宋" w:hAnsi="仿宋" w:eastAsia="仿宋" w:cs="仿宋"/>
          <w:b/>
          <w:color w:val="auto"/>
          <w:highlight w:val="none"/>
          <w:lang w:val="en-US" w:eastAsia="zh-CN"/>
        </w:rPr>
      </w:pPr>
      <w:bookmarkStart w:id="323" w:name="_Toc17226"/>
      <w:bookmarkStart w:id="324" w:name="_Toc15742"/>
      <w:r>
        <w:rPr>
          <w:rFonts w:hint="eastAsia" w:ascii="仿宋" w:hAnsi="仿宋" w:eastAsia="仿宋" w:cs="仿宋"/>
          <w:b/>
          <w:color w:val="auto"/>
          <w:highlight w:val="none"/>
        </w:rPr>
        <w:t>二、政府采购政策功能落实</w:t>
      </w:r>
      <w:bookmarkEnd w:id="322"/>
      <w:bookmarkEnd w:id="323"/>
      <w:bookmarkEnd w:id="324"/>
      <w:r>
        <w:rPr>
          <w:rFonts w:hint="eastAsia" w:ascii="仿宋" w:hAnsi="仿宋" w:eastAsia="仿宋" w:cs="仿宋"/>
          <w:b/>
          <w:color w:val="auto"/>
          <w:highlight w:val="none"/>
          <w:lang w:eastAsia="zh-CN"/>
        </w:rPr>
        <w:t>（专门面向中小企业采购包不享受价格扣除政策）</w:t>
      </w:r>
    </w:p>
    <w:p w14:paraId="087A0B72">
      <w:pPr>
        <w:keepNext w:val="0"/>
        <w:keepLines w:val="0"/>
        <w:pageBreakBefore w:val="0"/>
        <w:kinsoku/>
        <w:wordWrap/>
        <w:overflowPunct/>
        <w:topLinePunct w:val="0"/>
        <w:autoSpaceDE/>
        <w:autoSpaceDN/>
        <w:bidi w:val="0"/>
        <w:adjustRightInd/>
        <w:snapToGrid/>
        <w:spacing w:line="480" w:lineRule="exact"/>
        <w:ind w:firstLine="480"/>
        <w:textAlignment w:val="auto"/>
        <w:rPr>
          <w:rFonts w:ascii="仿宋" w:hAnsi="仿宋" w:eastAsia="仿宋" w:cs="仿宋"/>
          <w:color w:val="auto"/>
          <w:sz w:val="24"/>
          <w:szCs w:val="24"/>
          <w:highlight w:val="none"/>
        </w:rPr>
      </w:pPr>
      <w:bookmarkStart w:id="325" w:name="_Toc8920"/>
      <w:r>
        <w:rPr>
          <w:rFonts w:hint="eastAsia" w:ascii="仿宋" w:hAnsi="仿宋" w:eastAsia="仿宋" w:cs="仿宋"/>
          <w:color w:val="auto"/>
          <w:sz w:val="24"/>
          <w:szCs w:val="24"/>
          <w:highlight w:val="none"/>
        </w:rPr>
        <w:t>1.小微型企业价格扣除</w:t>
      </w:r>
      <w:bookmarkEnd w:id="325"/>
    </w:p>
    <w:p w14:paraId="6F7C8C7B">
      <w:pPr>
        <w:keepNext w:val="0"/>
        <w:keepLines w:val="0"/>
        <w:pageBreakBefore w:val="0"/>
        <w:kinsoku/>
        <w:wordWrap/>
        <w:overflowPunct/>
        <w:topLinePunct w:val="0"/>
        <w:autoSpaceDE/>
        <w:autoSpaceDN/>
        <w:bidi w:val="0"/>
        <w:adjustRightInd/>
        <w:snapToGrid/>
        <w:spacing w:line="480" w:lineRule="exact"/>
        <w:ind w:left="437"/>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（1）本项目对小型和微型企业提供的服务给予10%的扣除价格，用扣除后的价格参与评审。</w:t>
      </w:r>
    </w:p>
    <w:p w14:paraId="22C0C022">
      <w:pPr>
        <w:keepNext w:val="0"/>
        <w:keepLines w:val="0"/>
        <w:pageBreakBefore w:val="0"/>
        <w:kinsoku/>
        <w:wordWrap/>
        <w:overflowPunct/>
        <w:topLinePunct w:val="0"/>
        <w:autoSpaceDE/>
        <w:autoSpaceDN/>
        <w:bidi w:val="0"/>
        <w:adjustRightInd/>
        <w:snapToGrid/>
        <w:spacing w:line="480" w:lineRule="exact"/>
        <w:ind w:left="437"/>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（2）投标人需按照招标文件的要求提供相应的《小微企业声明函》。</w:t>
      </w:r>
    </w:p>
    <w:p w14:paraId="28202C9B">
      <w:pPr>
        <w:keepNext w:val="0"/>
        <w:keepLines w:val="0"/>
        <w:pageBreakBefore w:val="0"/>
        <w:kinsoku/>
        <w:wordWrap/>
        <w:overflowPunct/>
        <w:topLinePunct w:val="0"/>
        <w:autoSpaceDE/>
        <w:autoSpaceDN/>
        <w:bidi w:val="0"/>
        <w:adjustRightInd/>
        <w:snapToGrid/>
        <w:spacing w:line="480" w:lineRule="exact"/>
        <w:ind w:firstLine="480"/>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（3）企业标准请参照《关于印发中小企业划型标准规定的通知》（工信部联企业〔2011〕300号）文件规定自行填写。</w:t>
      </w:r>
    </w:p>
    <w:p w14:paraId="5458B9CF">
      <w:pPr>
        <w:keepNext w:val="0"/>
        <w:keepLines w:val="0"/>
        <w:pageBreakBefore w:val="0"/>
        <w:kinsoku/>
        <w:wordWrap/>
        <w:overflowPunct/>
        <w:topLinePunct w:val="0"/>
        <w:autoSpaceDE/>
        <w:autoSpaceDN/>
        <w:bidi w:val="0"/>
        <w:adjustRightInd/>
        <w:snapToGrid/>
        <w:spacing w:line="480" w:lineRule="exact"/>
        <w:ind w:firstLine="480"/>
        <w:textAlignment w:val="auto"/>
        <w:rPr>
          <w:rFonts w:ascii="仿宋" w:hAnsi="仿宋" w:eastAsia="仿宋" w:cs="仿宋"/>
          <w:color w:val="auto"/>
          <w:sz w:val="24"/>
          <w:szCs w:val="24"/>
          <w:highlight w:val="none"/>
        </w:rPr>
      </w:pPr>
      <w:bookmarkStart w:id="326" w:name="_Toc17382"/>
      <w:r>
        <w:rPr>
          <w:rFonts w:hint="eastAsia" w:ascii="仿宋" w:hAnsi="仿宋" w:eastAsia="仿宋" w:cs="仿宋"/>
          <w:color w:val="auto"/>
          <w:sz w:val="24"/>
          <w:szCs w:val="24"/>
          <w:highlight w:val="none"/>
        </w:rPr>
        <w:t>2.残疾人福利单位价格扣除</w:t>
      </w:r>
      <w:bookmarkEnd w:id="326"/>
    </w:p>
    <w:p w14:paraId="207B810F">
      <w:pPr>
        <w:keepNext w:val="0"/>
        <w:keepLines w:val="0"/>
        <w:pageBreakBefore w:val="0"/>
        <w:kinsoku/>
        <w:wordWrap/>
        <w:overflowPunct/>
        <w:topLinePunct w:val="0"/>
        <w:autoSpaceDE/>
        <w:autoSpaceDN/>
        <w:bidi w:val="0"/>
        <w:adjustRightInd/>
        <w:snapToGrid/>
        <w:spacing w:line="480" w:lineRule="exact"/>
        <w:ind w:firstLine="480"/>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（1）本项目对残疾人福利性单位视同小型、微型企业，给予10%的价格扣除，用扣除后的价格参与评审。</w:t>
      </w:r>
    </w:p>
    <w:p w14:paraId="2E3990A2">
      <w:pPr>
        <w:keepNext w:val="0"/>
        <w:keepLines w:val="0"/>
        <w:pageBreakBefore w:val="0"/>
        <w:kinsoku/>
        <w:wordWrap/>
        <w:overflowPunct/>
        <w:topLinePunct w:val="0"/>
        <w:autoSpaceDE/>
        <w:autoSpaceDN/>
        <w:bidi w:val="0"/>
        <w:adjustRightInd/>
        <w:snapToGrid/>
        <w:spacing w:line="480" w:lineRule="exact"/>
        <w:ind w:firstLine="480"/>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（2）残疾人福利单位需按照招标文件的要求提供《残疾人福利性单位声明函》。</w:t>
      </w:r>
    </w:p>
    <w:p w14:paraId="70107D6F">
      <w:pPr>
        <w:keepNext w:val="0"/>
        <w:keepLines w:val="0"/>
        <w:pageBreakBefore w:val="0"/>
        <w:kinsoku/>
        <w:wordWrap/>
        <w:overflowPunct/>
        <w:topLinePunct w:val="0"/>
        <w:autoSpaceDE/>
        <w:autoSpaceDN/>
        <w:bidi w:val="0"/>
        <w:adjustRightInd/>
        <w:snapToGrid/>
        <w:spacing w:line="480" w:lineRule="exact"/>
        <w:ind w:firstLine="480"/>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（3）残疾人福利单位标准请参照《关于促进残疾人就业政府采购政策的通知》（财库〔2017〕141号）。</w:t>
      </w:r>
    </w:p>
    <w:p w14:paraId="1F90D9ED">
      <w:pPr>
        <w:keepNext w:val="0"/>
        <w:keepLines w:val="0"/>
        <w:pageBreakBefore w:val="0"/>
        <w:kinsoku/>
        <w:wordWrap/>
        <w:overflowPunct/>
        <w:topLinePunct w:val="0"/>
        <w:autoSpaceDE/>
        <w:autoSpaceDN/>
        <w:bidi w:val="0"/>
        <w:adjustRightInd/>
        <w:snapToGrid/>
        <w:spacing w:line="480" w:lineRule="exact"/>
        <w:ind w:firstLine="480"/>
        <w:textAlignment w:val="auto"/>
        <w:rPr>
          <w:rFonts w:ascii="仿宋" w:hAnsi="仿宋" w:eastAsia="仿宋" w:cs="仿宋"/>
          <w:color w:val="auto"/>
          <w:sz w:val="24"/>
          <w:szCs w:val="24"/>
          <w:highlight w:val="none"/>
        </w:rPr>
      </w:pPr>
      <w:bookmarkStart w:id="327" w:name="_Toc31547"/>
      <w:r>
        <w:rPr>
          <w:rFonts w:hint="eastAsia" w:ascii="仿宋" w:hAnsi="仿宋" w:eastAsia="仿宋" w:cs="仿宋"/>
          <w:color w:val="auto"/>
          <w:sz w:val="24"/>
          <w:szCs w:val="24"/>
          <w:highlight w:val="none"/>
        </w:rPr>
        <w:t>3.监狱和戒毒企业价格扣除</w:t>
      </w:r>
      <w:bookmarkEnd w:id="327"/>
      <w:r>
        <w:rPr>
          <w:rFonts w:hint="eastAsia" w:ascii="仿宋" w:hAnsi="仿宋" w:eastAsia="仿宋" w:cs="仿宋"/>
          <w:color w:val="auto"/>
          <w:sz w:val="24"/>
          <w:szCs w:val="24"/>
          <w:highlight w:val="none"/>
        </w:rPr>
        <w:t>方案</w:t>
      </w:r>
    </w:p>
    <w:p w14:paraId="2273601F">
      <w:pPr>
        <w:keepNext w:val="0"/>
        <w:keepLines w:val="0"/>
        <w:pageBreakBefore w:val="0"/>
        <w:kinsoku/>
        <w:wordWrap/>
        <w:overflowPunct/>
        <w:topLinePunct w:val="0"/>
        <w:autoSpaceDE/>
        <w:autoSpaceDN/>
        <w:bidi w:val="0"/>
        <w:adjustRightInd/>
        <w:snapToGrid/>
        <w:spacing w:line="480" w:lineRule="exact"/>
        <w:ind w:firstLine="480"/>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（1）本项目对监狱和戒毒企业（简称监狱企业）视同小型、微型企业，给予10%的价格扣除，用扣除后的价格参与评审。</w:t>
      </w:r>
    </w:p>
    <w:p w14:paraId="076BB3B1">
      <w:pPr>
        <w:keepNext w:val="0"/>
        <w:keepLines w:val="0"/>
        <w:pageBreakBefore w:val="0"/>
        <w:kinsoku/>
        <w:wordWrap/>
        <w:overflowPunct/>
        <w:topLinePunct w:val="0"/>
        <w:autoSpaceDE/>
        <w:autoSpaceDN/>
        <w:bidi w:val="0"/>
        <w:adjustRightInd/>
        <w:snapToGrid/>
        <w:spacing w:line="480" w:lineRule="exact"/>
        <w:ind w:firstLine="480"/>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500F38A0">
      <w:pPr>
        <w:keepNext w:val="0"/>
        <w:keepLines w:val="0"/>
        <w:pageBreakBefore w:val="0"/>
        <w:kinsoku/>
        <w:wordWrap/>
        <w:overflowPunct/>
        <w:topLinePunct w:val="0"/>
        <w:autoSpaceDE/>
        <w:autoSpaceDN/>
        <w:bidi w:val="0"/>
        <w:adjustRightInd/>
        <w:snapToGrid/>
        <w:spacing w:line="480" w:lineRule="exact"/>
        <w:ind w:firstLine="480"/>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（3）监狱企业标准请参照《关于政府采购支持监狱企业发展有关问题的通知》（财库〔2014〕68号）。</w:t>
      </w:r>
    </w:p>
    <w:p w14:paraId="188A9118">
      <w:pPr>
        <w:keepNext w:val="0"/>
        <w:keepLines w:val="0"/>
        <w:pageBreakBefore w:val="0"/>
        <w:kinsoku/>
        <w:wordWrap/>
        <w:overflowPunct/>
        <w:topLinePunct w:val="0"/>
        <w:autoSpaceDE/>
        <w:autoSpaceDN/>
        <w:bidi w:val="0"/>
        <w:adjustRightInd/>
        <w:snapToGrid/>
        <w:spacing w:line="480" w:lineRule="exact"/>
        <w:ind w:firstLine="480"/>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4.残疾人福利单位、监狱企业属于小型、微型企业的，不重复享受政策。</w:t>
      </w:r>
    </w:p>
    <w:p w14:paraId="04F9E44C">
      <w:pPr>
        <w:keepNext w:val="0"/>
        <w:keepLines w:val="0"/>
        <w:pageBreakBefore w:val="0"/>
        <w:kinsoku/>
        <w:wordWrap/>
        <w:overflowPunct/>
        <w:topLinePunct w:val="0"/>
        <w:autoSpaceDE/>
        <w:autoSpaceDN/>
        <w:bidi w:val="0"/>
        <w:adjustRightInd/>
        <w:snapToGrid/>
        <w:spacing w:line="480" w:lineRule="exact"/>
        <w:ind w:firstLine="480"/>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p>
    <w:p w14:paraId="1EF87A0E">
      <w:pPr>
        <w:keepNext w:val="0"/>
        <w:keepLines w:val="0"/>
        <w:pageBreakBefore w:val="0"/>
        <w:kinsoku/>
        <w:wordWrap/>
        <w:overflowPunct/>
        <w:topLinePunct w:val="0"/>
        <w:autoSpaceDE/>
        <w:autoSpaceDN/>
        <w:bidi w:val="0"/>
        <w:adjustRightInd/>
        <w:snapToGrid/>
        <w:spacing w:line="480" w:lineRule="exact"/>
        <w:ind w:firstLine="480"/>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6.联合体各方均为小型、微型企业（残疾人福利单位、监狱企业）的，联合体享受10%价格扣除，用扣除后的价格参与评审。</w:t>
      </w:r>
    </w:p>
    <w:p w14:paraId="040BC3BE">
      <w:pPr>
        <w:pStyle w:val="253"/>
        <w:keepNext w:val="0"/>
        <w:keepLines w:val="0"/>
        <w:pageBreakBefore w:val="0"/>
        <w:kinsoku/>
        <w:wordWrap/>
        <w:overflowPunct/>
        <w:topLinePunct w:val="0"/>
        <w:autoSpaceDE/>
        <w:autoSpaceDN/>
        <w:bidi w:val="0"/>
        <w:adjustRightInd/>
        <w:snapToGrid/>
        <w:spacing w:before="0" w:after="0" w:line="480" w:lineRule="exact"/>
        <w:ind w:firstLine="441"/>
        <w:textAlignment w:val="auto"/>
        <w:outlineLvl w:val="1"/>
        <w:rPr>
          <w:rFonts w:ascii="仿宋" w:hAnsi="仿宋" w:eastAsia="仿宋" w:cs="仿宋"/>
          <w:b/>
          <w:color w:val="auto"/>
          <w:highlight w:val="none"/>
        </w:rPr>
      </w:pPr>
      <w:bookmarkStart w:id="328" w:name="_Toc2331"/>
      <w:bookmarkStart w:id="329" w:name="_Toc31537"/>
      <w:r>
        <w:rPr>
          <w:rFonts w:hint="eastAsia" w:ascii="仿宋" w:hAnsi="仿宋" w:eastAsia="仿宋" w:cs="仿宋"/>
          <w:b/>
          <w:color w:val="auto"/>
          <w:highlight w:val="none"/>
        </w:rPr>
        <w:t>三、政府采购异常递交问题处理方式</w:t>
      </w:r>
    </w:p>
    <w:p w14:paraId="60217AEB">
      <w:pPr>
        <w:keepNext w:val="0"/>
        <w:keepLines w:val="0"/>
        <w:pageBreakBefore w:val="0"/>
        <w:kinsoku/>
        <w:wordWrap/>
        <w:overflowPunct/>
        <w:topLinePunct w:val="0"/>
        <w:autoSpaceDE/>
        <w:autoSpaceDN/>
        <w:bidi w:val="0"/>
        <w:adjustRightInd/>
        <w:snapToGrid/>
        <w:spacing w:line="480" w:lineRule="exact"/>
        <w:ind w:firstLine="480"/>
        <w:textAlignment w:val="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1.根据《关于推动解决政府采购异常低价问题相关工作的通知》（苏财购〔2025〕62号）要求，评标过程中出现下列情形之一的，评标委员会应当启动异常低价响应审查程序：</w:t>
      </w:r>
    </w:p>
    <w:p w14:paraId="4B76E865">
      <w:pPr>
        <w:pStyle w:val="253"/>
        <w:keepNext w:val="0"/>
        <w:keepLines w:val="0"/>
        <w:pageBreakBefore w:val="0"/>
        <w:kinsoku/>
        <w:wordWrap/>
        <w:overflowPunct/>
        <w:topLinePunct w:val="0"/>
        <w:autoSpaceDE/>
        <w:autoSpaceDN/>
        <w:bidi w:val="0"/>
        <w:adjustRightInd/>
        <w:snapToGrid/>
        <w:spacing w:line="480" w:lineRule="exact"/>
        <w:ind w:firstLine="441"/>
        <w:textAlignment w:val="auto"/>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（1）投标报价低于全部通过符合性审查供应商投标报价平均值50%的，即投标报价&lt;全部通过符合性审查供应商投标报价平均值×50%；</w:t>
      </w:r>
    </w:p>
    <w:p w14:paraId="64170C23">
      <w:pPr>
        <w:pStyle w:val="253"/>
        <w:keepNext w:val="0"/>
        <w:keepLines w:val="0"/>
        <w:pageBreakBefore w:val="0"/>
        <w:kinsoku/>
        <w:wordWrap/>
        <w:overflowPunct/>
        <w:topLinePunct w:val="0"/>
        <w:autoSpaceDE/>
        <w:autoSpaceDN/>
        <w:bidi w:val="0"/>
        <w:adjustRightInd/>
        <w:snapToGrid/>
        <w:spacing w:line="480" w:lineRule="exact"/>
        <w:ind w:firstLine="441"/>
        <w:textAlignment w:val="auto"/>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（2）投标报价低于通过符合性审查的次低报价供应商投标报价50%的，即投标报价&lt;通过符合性审查的次低报价供应商投标报价×50%；</w:t>
      </w:r>
    </w:p>
    <w:p w14:paraId="24A5A3A4">
      <w:pPr>
        <w:pStyle w:val="253"/>
        <w:keepNext w:val="0"/>
        <w:keepLines w:val="0"/>
        <w:pageBreakBefore w:val="0"/>
        <w:kinsoku/>
        <w:wordWrap/>
        <w:overflowPunct/>
        <w:topLinePunct w:val="0"/>
        <w:autoSpaceDE/>
        <w:autoSpaceDN/>
        <w:bidi w:val="0"/>
        <w:adjustRightInd/>
        <w:snapToGrid/>
        <w:spacing w:line="480" w:lineRule="exact"/>
        <w:ind w:firstLine="441"/>
        <w:textAlignment w:val="auto"/>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（3）投标报价低于采购项目最高限价45%的，即投标报价&lt;采购项目最高限价×45%；</w:t>
      </w:r>
    </w:p>
    <w:p w14:paraId="37B027E7">
      <w:pPr>
        <w:pStyle w:val="253"/>
        <w:keepNext w:val="0"/>
        <w:keepLines w:val="0"/>
        <w:pageBreakBefore w:val="0"/>
        <w:kinsoku/>
        <w:wordWrap/>
        <w:overflowPunct/>
        <w:topLinePunct w:val="0"/>
        <w:autoSpaceDE/>
        <w:autoSpaceDN/>
        <w:bidi w:val="0"/>
        <w:adjustRightInd/>
        <w:snapToGrid/>
        <w:spacing w:line="480" w:lineRule="exact"/>
        <w:ind w:firstLine="441"/>
        <w:textAlignment w:val="auto"/>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（4）评标委员会基于专业判断，认为供应商报价过低，有可能影响产品质量或者不能诚信履约的其他情形。</w:t>
      </w:r>
    </w:p>
    <w:p w14:paraId="6ECBDACE">
      <w:pPr>
        <w:pStyle w:val="253"/>
        <w:keepNext w:val="0"/>
        <w:keepLines w:val="0"/>
        <w:pageBreakBefore w:val="0"/>
        <w:kinsoku/>
        <w:wordWrap/>
        <w:overflowPunct/>
        <w:topLinePunct w:val="0"/>
        <w:autoSpaceDE/>
        <w:autoSpaceDN/>
        <w:bidi w:val="0"/>
        <w:adjustRightInd/>
        <w:snapToGrid/>
        <w:spacing w:line="480" w:lineRule="exact"/>
        <w:ind w:firstLine="741" w:firstLineChars="309"/>
        <w:textAlignment w:val="auto"/>
        <w:outlineLvl w:val="1"/>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w:t>
      </w:r>
      <w:r>
        <w:rPr>
          <w:rFonts w:hint="eastAsia" w:ascii="仿宋" w:hAnsi="仿宋" w:eastAsia="仿宋" w:cs="仿宋"/>
          <w:b/>
          <w:bCs/>
          <w:i/>
          <w:iCs/>
          <w:color w:val="auto"/>
          <w:sz w:val="24"/>
          <w:szCs w:val="24"/>
          <w:highlight w:val="none"/>
          <w:u w:val="single"/>
        </w:rPr>
        <w:t>其中</w:t>
      </w:r>
      <w:r>
        <w:rPr>
          <w:rFonts w:hint="eastAsia" w:ascii="仿宋" w:hAnsi="仿宋" w:eastAsia="仿宋" w:cs="仿宋"/>
          <w:b/>
          <w:bCs/>
          <w:i/>
          <w:iCs/>
          <w:color w:val="auto"/>
          <w:sz w:val="24"/>
          <w:szCs w:val="24"/>
          <w:highlight w:val="none"/>
          <w:u w:val="single"/>
          <w:lang w:val="en-US" w:eastAsia="zh-CN"/>
        </w:rPr>
        <w:t>投标报价低于采购项目最高限价（预算）45%的，投标人应在投标文件中提供合理性相关书面说明及必要的证明材料</w:t>
      </w:r>
      <w:r>
        <w:rPr>
          <w:rFonts w:hint="eastAsia" w:ascii="仿宋" w:hAnsi="仿宋" w:eastAsia="仿宋" w:cs="仿宋"/>
          <w:b/>
          <w:bCs/>
          <w:i/>
          <w:iCs/>
          <w:color w:val="auto"/>
          <w:sz w:val="24"/>
          <w:szCs w:val="24"/>
          <w:highlight w:val="none"/>
          <w:u w:val="single"/>
        </w:rPr>
        <w:t>。</w:t>
      </w:r>
    </w:p>
    <w:p w14:paraId="23849661">
      <w:pPr>
        <w:pStyle w:val="253"/>
        <w:keepNext w:val="0"/>
        <w:keepLines w:val="0"/>
        <w:pageBreakBefore w:val="0"/>
        <w:kinsoku/>
        <w:wordWrap/>
        <w:overflowPunct/>
        <w:topLinePunct w:val="0"/>
        <w:autoSpaceDE/>
        <w:autoSpaceDN/>
        <w:bidi w:val="0"/>
        <w:adjustRightInd/>
        <w:snapToGrid/>
        <w:spacing w:line="480" w:lineRule="exact"/>
        <w:ind w:firstLine="441"/>
        <w:textAlignment w:val="auto"/>
        <w:outlineLvl w:val="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p w14:paraId="2CB67642">
      <w:pPr>
        <w:pStyle w:val="253"/>
        <w:keepNext w:val="0"/>
        <w:keepLines w:val="0"/>
        <w:pageBreakBefore w:val="0"/>
        <w:kinsoku/>
        <w:wordWrap/>
        <w:overflowPunct/>
        <w:topLinePunct w:val="0"/>
        <w:autoSpaceDE/>
        <w:autoSpaceDN/>
        <w:bidi w:val="0"/>
        <w:adjustRightInd/>
        <w:snapToGrid/>
        <w:spacing w:line="480" w:lineRule="exact"/>
        <w:ind w:firstLine="441"/>
        <w:textAlignment w:val="auto"/>
        <w:outlineLvl w:val="1"/>
        <w:rPr>
          <w:rFonts w:hint="eastAsia" w:ascii="仿宋" w:hAnsi="仿宋" w:eastAsia="仿宋" w:cs="仿宋"/>
          <w:b/>
          <w:color w:val="auto"/>
          <w:highlight w:val="none"/>
        </w:rPr>
      </w:pPr>
      <w:bookmarkStart w:id="330" w:name="_Toc7084"/>
      <w:bookmarkStart w:id="331" w:name="_Toc3349"/>
      <w:r>
        <w:rPr>
          <w:rFonts w:hint="eastAsia" w:ascii="仿宋" w:hAnsi="仿宋" w:eastAsia="仿宋" w:cs="仿宋"/>
          <w:b/>
          <w:color w:val="auto"/>
          <w:highlight w:val="none"/>
          <w:lang w:val="en-US" w:eastAsia="zh-CN"/>
        </w:rPr>
        <w:t>四</w:t>
      </w:r>
      <w:r>
        <w:rPr>
          <w:rFonts w:hint="eastAsia" w:ascii="仿宋" w:hAnsi="仿宋" w:eastAsia="仿宋" w:cs="仿宋"/>
          <w:b/>
          <w:color w:val="auto"/>
          <w:highlight w:val="none"/>
        </w:rPr>
        <w:t>、</w:t>
      </w:r>
      <w:bookmarkEnd w:id="330"/>
      <w:bookmarkStart w:id="332" w:name="_Toc2013"/>
      <w:r>
        <w:rPr>
          <w:rFonts w:hint="eastAsia" w:ascii="仿宋" w:hAnsi="仿宋" w:eastAsia="仿宋" w:cs="仿宋"/>
          <w:b/>
          <w:color w:val="auto"/>
          <w:highlight w:val="none"/>
        </w:rPr>
        <w:t>评标办法和评标标准</w:t>
      </w:r>
      <w:bookmarkEnd w:id="331"/>
      <w:bookmarkEnd w:id="332"/>
    </w:p>
    <w:p w14:paraId="1B1E8604">
      <w:pPr>
        <w:pStyle w:val="253"/>
        <w:keepNext w:val="0"/>
        <w:keepLines w:val="0"/>
        <w:pageBreakBefore w:val="0"/>
        <w:kinsoku/>
        <w:wordWrap/>
        <w:overflowPunct/>
        <w:topLinePunct w:val="0"/>
        <w:autoSpaceDE/>
        <w:autoSpaceDN/>
        <w:bidi w:val="0"/>
        <w:adjustRightInd/>
        <w:snapToGrid/>
        <w:spacing w:line="480" w:lineRule="exact"/>
        <w:ind w:firstLine="441"/>
        <w:textAlignment w:val="auto"/>
        <w:outlineLvl w:val="1"/>
        <w:rPr>
          <w:rFonts w:hint="default" w:ascii="仿宋" w:hAnsi="仿宋" w:eastAsia="仿宋" w:cs="仿宋"/>
          <w:b/>
          <w:color w:val="auto"/>
          <w:highlight w:val="none"/>
          <w:lang w:val="en-US" w:eastAsia="zh-CN"/>
        </w:rPr>
      </w:pPr>
      <w:r>
        <w:rPr>
          <w:rFonts w:hint="eastAsia" w:ascii="仿宋" w:hAnsi="仿宋" w:eastAsia="仿宋" w:cs="仿宋"/>
          <w:b/>
          <w:color w:val="auto"/>
          <w:highlight w:val="none"/>
          <w:lang w:val="en-US" w:eastAsia="zh-CN"/>
        </w:rPr>
        <w:t>分包一：</w:t>
      </w:r>
      <w:bookmarkEnd w:id="328"/>
      <w:r>
        <w:rPr>
          <w:rFonts w:hint="eastAsia" w:ascii="仿宋" w:hAnsi="仿宋" w:eastAsia="仿宋" w:cs="仿宋"/>
          <w:b/>
          <w:color w:val="auto"/>
          <w:highlight w:val="none"/>
          <w:lang w:val="en-US" w:eastAsia="zh-CN"/>
        </w:rPr>
        <w:t>高速公路交通统计与路网日常监测辅助服务（专门面向中小企业采购项目，不执行价格扣除政策）</w:t>
      </w:r>
    </w:p>
    <w:tbl>
      <w:tblPr>
        <w:tblStyle w:val="33"/>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1"/>
        <w:gridCol w:w="875"/>
        <w:gridCol w:w="909"/>
        <w:gridCol w:w="6689"/>
        <w:gridCol w:w="986"/>
      </w:tblGrid>
      <w:tr w14:paraId="78E59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9" w:hRule="atLeast"/>
        </w:trPr>
        <w:tc>
          <w:tcPr>
            <w:tcW w:w="246" w:type="pct"/>
            <w:noWrap/>
            <w:vAlign w:val="center"/>
          </w:tcPr>
          <w:p w14:paraId="52B12416">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w:t>
            </w:r>
          </w:p>
        </w:tc>
        <w:tc>
          <w:tcPr>
            <w:tcW w:w="895" w:type="pct"/>
            <w:gridSpan w:val="2"/>
            <w:noWrap/>
            <w:vAlign w:val="center"/>
          </w:tcPr>
          <w:p w14:paraId="70C2443E">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价格</w:t>
            </w:r>
          </w:p>
          <w:p w14:paraId="67C10013">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（10分）</w:t>
            </w:r>
          </w:p>
        </w:tc>
        <w:tc>
          <w:tcPr>
            <w:tcW w:w="3361" w:type="pct"/>
          </w:tcPr>
          <w:p w14:paraId="722CB4FD">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价格分采用低价优先法计算，即满足招标文件要求且投标价格最低的投标报价为评标基准价，其价格分为满分。其他投标人的价格分统一按照下列公式计算（小数点保留两位）：投标报价得分=(评标基准价／投标报价)×10。</w:t>
            </w:r>
          </w:p>
        </w:tc>
        <w:tc>
          <w:tcPr>
            <w:tcW w:w="496" w:type="pct"/>
            <w:vAlign w:val="center"/>
          </w:tcPr>
          <w:p w14:paraId="382830D1">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10</w:t>
            </w:r>
          </w:p>
        </w:tc>
      </w:tr>
      <w:tr w14:paraId="6DCA3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9" w:hRule="atLeast"/>
        </w:trPr>
        <w:tc>
          <w:tcPr>
            <w:tcW w:w="246" w:type="pct"/>
            <w:vMerge w:val="restart"/>
            <w:vAlign w:val="center"/>
          </w:tcPr>
          <w:p w14:paraId="1A3C8F66">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w:t>
            </w:r>
          </w:p>
        </w:tc>
        <w:tc>
          <w:tcPr>
            <w:tcW w:w="439" w:type="pct"/>
            <w:vMerge w:val="restart"/>
            <w:vAlign w:val="center"/>
          </w:tcPr>
          <w:p w14:paraId="2055EB09">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技</w:t>
            </w:r>
          </w:p>
          <w:p w14:paraId="1B268DD7">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术</w:t>
            </w:r>
          </w:p>
          <w:p w14:paraId="311C3537">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w:t>
            </w:r>
          </w:p>
          <w:p w14:paraId="22325D18">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审</w:t>
            </w:r>
          </w:p>
          <w:p w14:paraId="012A1A98">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（60分）</w:t>
            </w:r>
          </w:p>
        </w:tc>
        <w:tc>
          <w:tcPr>
            <w:tcW w:w="909" w:type="dxa"/>
            <w:noWrap/>
            <w:vAlign w:val="center"/>
          </w:tcPr>
          <w:p w14:paraId="704C476E">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现状及重难点分析</w:t>
            </w:r>
          </w:p>
          <w:p w14:paraId="081E6A30">
            <w:pPr>
              <w:widowControl/>
              <w:spacing w:line="240" w:lineRule="auto"/>
              <w:ind w:firstLine="0" w:firstLineChars="0"/>
              <w:jc w:val="center"/>
              <w:rPr>
                <w:rFonts w:hint="eastAsia" w:ascii="仿宋" w:hAnsi="仿宋" w:eastAsia="仿宋" w:cs="仿宋"/>
                <w:b/>
                <w:bCs/>
                <w:color w:val="auto"/>
                <w:sz w:val="24"/>
                <w:szCs w:val="24"/>
                <w:highlight w:val="none"/>
              </w:rPr>
            </w:pPr>
          </w:p>
        </w:tc>
        <w:tc>
          <w:tcPr>
            <w:tcW w:w="6689" w:type="dxa"/>
            <w:vAlign w:val="center"/>
          </w:tcPr>
          <w:p w14:paraId="40CDFA66">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对项目现状、风险、重难点把握极其精准，分析透彻、思路创新等进行综合打分：</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（1）内容理解深刻、分析全面精准的，得15分；</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（2）内容理解较充分、分析较完整的，得13分；</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（3）内容理解基本到位、分析一般的，得11分；</w:t>
            </w:r>
          </w:p>
          <w:p w14:paraId="0573D3D4">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（4）内容理解有一定深度、分析不够全面或存在明显短板的，得9分；</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（5）内容理解浅显、分析片面的，得6分；</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（6）未提供的，得0分。</w:t>
            </w:r>
          </w:p>
        </w:tc>
        <w:tc>
          <w:tcPr>
            <w:tcW w:w="986" w:type="dxa"/>
            <w:vAlign w:val="center"/>
          </w:tcPr>
          <w:p w14:paraId="522197D2">
            <w:pPr>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15</w:t>
            </w:r>
          </w:p>
        </w:tc>
      </w:tr>
      <w:tr w14:paraId="4B474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0" w:hRule="atLeast"/>
        </w:trPr>
        <w:tc>
          <w:tcPr>
            <w:tcW w:w="246" w:type="pct"/>
            <w:vMerge w:val="continue"/>
            <w:vAlign w:val="center"/>
          </w:tcPr>
          <w:p w14:paraId="1894DC76">
            <w:pPr>
              <w:widowControl/>
              <w:spacing w:line="240" w:lineRule="auto"/>
              <w:ind w:firstLine="0" w:firstLineChars="0"/>
              <w:jc w:val="center"/>
              <w:rPr>
                <w:rFonts w:hint="eastAsia" w:ascii="仿宋" w:hAnsi="仿宋" w:eastAsia="仿宋" w:cs="仿宋"/>
                <w:b/>
                <w:bCs/>
                <w:color w:val="auto"/>
                <w:sz w:val="24"/>
                <w:szCs w:val="24"/>
                <w:highlight w:val="none"/>
              </w:rPr>
            </w:pPr>
          </w:p>
        </w:tc>
        <w:tc>
          <w:tcPr>
            <w:tcW w:w="439" w:type="pct"/>
            <w:vMerge w:val="continue"/>
            <w:vAlign w:val="center"/>
          </w:tcPr>
          <w:p w14:paraId="085BF13B">
            <w:pPr>
              <w:widowControl/>
              <w:spacing w:line="240" w:lineRule="auto"/>
              <w:ind w:firstLine="0" w:firstLineChars="0"/>
              <w:jc w:val="center"/>
              <w:rPr>
                <w:rFonts w:hint="eastAsia" w:ascii="仿宋" w:hAnsi="仿宋" w:eastAsia="仿宋" w:cs="仿宋"/>
                <w:b/>
                <w:bCs/>
                <w:color w:val="auto"/>
                <w:sz w:val="24"/>
                <w:szCs w:val="24"/>
                <w:highlight w:val="none"/>
              </w:rPr>
            </w:pPr>
          </w:p>
        </w:tc>
        <w:tc>
          <w:tcPr>
            <w:tcW w:w="909" w:type="dxa"/>
            <w:noWrap/>
            <w:vAlign w:val="center"/>
          </w:tcPr>
          <w:p w14:paraId="752AE3F5">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实施路径和方法</w:t>
            </w:r>
          </w:p>
        </w:tc>
        <w:tc>
          <w:tcPr>
            <w:tcW w:w="6689" w:type="dxa"/>
            <w:vAlign w:val="top"/>
          </w:tcPr>
          <w:p w14:paraId="31951D6D">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根据投标人提供的实施路径和方法进行综合打分：</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（1）实施路径科学合理、工作方法创新、流程清晰、操作性极强，得10分；</w:t>
            </w:r>
          </w:p>
          <w:p w14:paraId="0361AB1A">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（2）路径合理、方法可行，得</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分；</w:t>
            </w:r>
          </w:p>
          <w:p w14:paraId="15F74B2A">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（3）路径基本合理、满足要求，得</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分；</w:t>
            </w:r>
          </w:p>
          <w:p w14:paraId="1A9EE679">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（4）路径不合理或方法单一，得</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分；</w:t>
            </w:r>
          </w:p>
          <w:p w14:paraId="6502DE04">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（5）未提供不得分。</w:t>
            </w:r>
          </w:p>
        </w:tc>
        <w:tc>
          <w:tcPr>
            <w:tcW w:w="986" w:type="dxa"/>
            <w:vAlign w:val="center"/>
          </w:tcPr>
          <w:p w14:paraId="5A6073CE">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10</w:t>
            </w:r>
          </w:p>
        </w:tc>
      </w:tr>
      <w:tr w14:paraId="38F8C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 w:hRule="atLeast"/>
        </w:trPr>
        <w:tc>
          <w:tcPr>
            <w:tcW w:w="246" w:type="pct"/>
            <w:vMerge w:val="continue"/>
            <w:vAlign w:val="center"/>
          </w:tcPr>
          <w:p w14:paraId="6D59410A">
            <w:pPr>
              <w:widowControl/>
              <w:spacing w:line="240" w:lineRule="auto"/>
              <w:ind w:firstLine="0" w:firstLineChars="0"/>
              <w:rPr>
                <w:rFonts w:hint="eastAsia" w:ascii="仿宋" w:hAnsi="仿宋" w:eastAsia="仿宋" w:cs="仿宋"/>
                <w:b/>
                <w:bCs/>
                <w:color w:val="auto"/>
                <w:sz w:val="24"/>
                <w:szCs w:val="24"/>
                <w:highlight w:val="none"/>
              </w:rPr>
            </w:pPr>
          </w:p>
        </w:tc>
        <w:tc>
          <w:tcPr>
            <w:tcW w:w="439" w:type="pct"/>
            <w:vMerge w:val="continue"/>
            <w:vAlign w:val="center"/>
          </w:tcPr>
          <w:p w14:paraId="1B1F0072">
            <w:pPr>
              <w:widowControl/>
              <w:spacing w:line="240" w:lineRule="auto"/>
              <w:ind w:firstLine="0" w:firstLineChars="0"/>
              <w:rPr>
                <w:rFonts w:hint="eastAsia" w:ascii="仿宋" w:hAnsi="仿宋" w:eastAsia="仿宋" w:cs="仿宋"/>
                <w:b/>
                <w:bCs/>
                <w:color w:val="auto"/>
                <w:sz w:val="24"/>
                <w:szCs w:val="24"/>
                <w:highlight w:val="none"/>
              </w:rPr>
            </w:pPr>
          </w:p>
        </w:tc>
        <w:tc>
          <w:tcPr>
            <w:tcW w:w="909" w:type="dxa"/>
            <w:vAlign w:val="center"/>
          </w:tcPr>
          <w:p w14:paraId="0F5F1006">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工作组织和进度计划</w:t>
            </w:r>
          </w:p>
          <w:p w14:paraId="73B012A9">
            <w:pPr>
              <w:widowControl/>
              <w:spacing w:line="240" w:lineRule="auto"/>
              <w:ind w:firstLine="0" w:firstLineChars="0"/>
              <w:jc w:val="center"/>
              <w:rPr>
                <w:rFonts w:hint="eastAsia" w:ascii="仿宋" w:hAnsi="仿宋" w:eastAsia="仿宋" w:cs="仿宋"/>
                <w:b/>
                <w:bCs/>
                <w:color w:val="auto"/>
                <w:sz w:val="24"/>
                <w:szCs w:val="24"/>
                <w:highlight w:val="none"/>
              </w:rPr>
            </w:pPr>
          </w:p>
        </w:tc>
        <w:tc>
          <w:tcPr>
            <w:tcW w:w="6689" w:type="dxa"/>
            <w:vAlign w:val="center"/>
          </w:tcPr>
          <w:p w14:paraId="540FC919">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根据投标人提供的工作组织和进度计划等进行综合打分：</w:t>
            </w:r>
          </w:p>
          <w:p w14:paraId="2B8EC617">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（1）组织架构完善、职责明确、进度安排严谨、完全满足工期要求，得5分；</w:t>
            </w:r>
          </w:p>
          <w:p w14:paraId="78809C34">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（2）组织较完善、进度合理，得4分；</w:t>
            </w:r>
          </w:p>
          <w:p w14:paraId="291988A2">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（3）组织基本可行、满足工期，得3分；</w:t>
            </w:r>
          </w:p>
          <w:p w14:paraId="495587FC">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（4）安排不合理或未提供不得分。</w:t>
            </w:r>
          </w:p>
        </w:tc>
        <w:tc>
          <w:tcPr>
            <w:tcW w:w="986" w:type="dxa"/>
            <w:vAlign w:val="center"/>
          </w:tcPr>
          <w:p w14:paraId="5DD46A24">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5</w:t>
            </w:r>
          </w:p>
        </w:tc>
      </w:tr>
      <w:tr w14:paraId="10B4A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3" w:hRule="atLeast"/>
        </w:trPr>
        <w:tc>
          <w:tcPr>
            <w:tcW w:w="246" w:type="pct"/>
            <w:vMerge w:val="continue"/>
            <w:vAlign w:val="center"/>
          </w:tcPr>
          <w:p w14:paraId="39EB4A98">
            <w:pPr>
              <w:widowControl/>
              <w:spacing w:line="240" w:lineRule="auto"/>
              <w:ind w:firstLine="0" w:firstLineChars="0"/>
              <w:rPr>
                <w:rFonts w:hint="eastAsia" w:ascii="仿宋" w:hAnsi="仿宋" w:eastAsia="仿宋" w:cs="仿宋"/>
                <w:b/>
                <w:bCs/>
                <w:color w:val="auto"/>
                <w:sz w:val="24"/>
                <w:szCs w:val="24"/>
                <w:highlight w:val="none"/>
              </w:rPr>
            </w:pPr>
          </w:p>
        </w:tc>
        <w:tc>
          <w:tcPr>
            <w:tcW w:w="439" w:type="pct"/>
            <w:vMerge w:val="continue"/>
            <w:vAlign w:val="center"/>
          </w:tcPr>
          <w:p w14:paraId="12998DB3">
            <w:pPr>
              <w:widowControl/>
              <w:spacing w:line="240" w:lineRule="auto"/>
              <w:ind w:firstLine="0" w:firstLineChars="0"/>
              <w:rPr>
                <w:rFonts w:hint="eastAsia" w:ascii="仿宋" w:hAnsi="仿宋" w:eastAsia="仿宋" w:cs="仿宋"/>
                <w:b/>
                <w:bCs/>
                <w:color w:val="auto"/>
                <w:sz w:val="24"/>
                <w:szCs w:val="24"/>
                <w:highlight w:val="none"/>
              </w:rPr>
            </w:pPr>
          </w:p>
        </w:tc>
        <w:tc>
          <w:tcPr>
            <w:tcW w:w="909" w:type="dxa"/>
            <w:vAlign w:val="center"/>
          </w:tcPr>
          <w:p w14:paraId="27DDD5C2">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质量保障措施</w:t>
            </w:r>
          </w:p>
        </w:tc>
        <w:tc>
          <w:tcPr>
            <w:tcW w:w="6689" w:type="dxa"/>
            <w:vAlign w:val="center"/>
          </w:tcPr>
          <w:p w14:paraId="29984526">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根据投标人提供的质量保障措施进行综合打分：</w:t>
            </w:r>
          </w:p>
          <w:p w14:paraId="1925D3AD">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ascii="仿宋" w:hAnsi="仿宋" w:eastAsia="仿宋" w:cs="仿宋"/>
                <w:color w:val="auto"/>
                <w:sz w:val="24"/>
                <w:szCs w:val="24"/>
                <w:highlight w:val="none"/>
              </w:rPr>
              <w:t>质量管控体系完整、环节措施具体、全程可追溯，得 10 分；</w:t>
            </w:r>
          </w:p>
          <w:p w14:paraId="57FFD510">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ascii="仿宋" w:hAnsi="仿宋" w:eastAsia="仿宋" w:cs="仿宋"/>
                <w:color w:val="auto"/>
                <w:sz w:val="24"/>
                <w:szCs w:val="24"/>
                <w:highlight w:val="none"/>
              </w:rPr>
              <w:t xml:space="preserve">体系较完善、措施有效，得 </w:t>
            </w:r>
            <w:r>
              <w:rPr>
                <w:rFonts w:hint="eastAsia" w:ascii="仿宋" w:hAnsi="仿宋" w:eastAsia="仿宋" w:cs="仿宋"/>
                <w:color w:val="auto"/>
                <w:sz w:val="24"/>
                <w:szCs w:val="24"/>
                <w:highlight w:val="none"/>
                <w:lang w:val="en-US" w:eastAsia="zh-CN"/>
              </w:rPr>
              <w:t>9</w:t>
            </w:r>
            <w:r>
              <w:rPr>
                <w:rFonts w:ascii="仿宋" w:hAnsi="仿宋" w:eastAsia="仿宋" w:cs="仿宋"/>
                <w:color w:val="auto"/>
                <w:sz w:val="24"/>
                <w:szCs w:val="24"/>
                <w:highlight w:val="none"/>
              </w:rPr>
              <w:t xml:space="preserve"> 分；</w:t>
            </w:r>
          </w:p>
          <w:p w14:paraId="3A5B6E30">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ascii="仿宋" w:hAnsi="仿宋" w:eastAsia="仿宋" w:cs="仿宋"/>
                <w:color w:val="auto"/>
                <w:sz w:val="24"/>
                <w:szCs w:val="24"/>
                <w:highlight w:val="none"/>
              </w:rPr>
              <w:t xml:space="preserve">体系基本合理、满足要求，得 </w:t>
            </w:r>
            <w:r>
              <w:rPr>
                <w:rFonts w:hint="eastAsia" w:ascii="仿宋" w:hAnsi="仿宋" w:eastAsia="仿宋" w:cs="仿宋"/>
                <w:color w:val="auto"/>
                <w:sz w:val="24"/>
                <w:szCs w:val="24"/>
                <w:highlight w:val="none"/>
                <w:lang w:val="en-US" w:eastAsia="zh-CN"/>
              </w:rPr>
              <w:t>8</w:t>
            </w:r>
            <w:r>
              <w:rPr>
                <w:rFonts w:ascii="仿宋" w:hAnsi="仿宋" w:eastAsia="仿宋" w:cs="仿宋"/>
                <w:color w:val="auto"/>
                <w:sz w:val="24"/>
                <w:szCs w:val="24"/>
                <w:highlight w:val="none"/>
              </w:rPr>
              <w:t>分；</w:t>
            </w:r>
          </w:p>
          <w:p w14:paraId="73805374">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ascii="仿宋" w:hAnsi="仿宋" w:eastAsia="仿宋" w:cs="仿宋"/>
                <w:color w:val="auto"/>
                <w:sz w:val="24"/>
                <w:szCs w:val="24"/>
                <w:highlight w:val="none"/>
              </w:rPr>
              <w:t>措施笼统或保障不足，得</w:t>
            </w:r>
            <w:r>
              <w:rPr>
                <w:rFonts w:hint="eastAsia" w:ascii="仿宋" w:hAnsi="仿宋" w:eastAsia="仿宋" w:cs="仿宋"/>
                <w:color w:val="auto"/>
                <w:sz w:val="24"/>
                <w:szCs w:val="24"/>
                <w:highlight w:val="none"/>
                <w:lang w:val="en-US" w:eastAsia="zh-CN"/>
              </w:rPr>
              <w:t>7</w:t>
            </w:r>
            <w:r>
              <w:rPr>
                <w:rFonts w:ascii="仿宋" w:hAnsi="仿宋" w:eastAsia="仿宋" w:cs="仿宋"/>
                <w:color w:val="auto"/>
                <w:sz w:val="24"/>
                <w:szCs w:val="24"/>
                <w:highlight w:val="none"/>
              </w:rPr>
              <w:t xml:space="preserve"> 分；</w:t>
            </w:r>
          </w:p>
          <w:p w14:paraId="171FCEAC">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r>
              <w:rPr>
                <w:rFonts w:ascii="仿宋" w:hAnsi="仿宋" w:eastAsia="仿宋" w:cs="仿宋"/>
                <w:color w:val="auto"/>
                <w:sz w:val="24"/>
                <w:szCs w:val="24"/>
                <w:highlight w:val="none"/>
              </w:rPr>
              <w:t>未提供不得分。</w:t>
            </w:r>
          </w:p>
        </w:tc>
        <w:tc>
          <w:tcPr>
            <w:tcW w:w="986" w:type="dxa"/>
            <w:vAlign w:val="center"/>
          </w:tcPr>
          <w:p w14:paraId="0BE95027">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10</w:t>
            </w:r>
          </w:p>
        </w:tc>
      </w:tr>
      <w:tr w14:paraId="6EF24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9" w:hRule="atLeast"/>
        </w:trPr>
        <w:tc>
          <w:tcPr>
            <w:tcW w:w="246" w:type="pct"/>
            <w:vMerge w:val="continue"/>
            <w:vAlign w:val="center"/>
          </w:tcPr>
          <w:p w14:paraId="7D64A7DC">
            <w:pPr>
              <w:widowControl/>
              <w:spacing w:line="240" w:lineRule="auto"/>
              <w:ind w:firstLine="0" w:firstLineChars="0"/>
              <w:rPr>
                <w:rFonts w:hint="eastAsia" w:ascii="仿宋" w:hAnsi="仿宋" w:eastAsia="仿宋" w:cs="仿宋"/>
                <w:b/>
                <w:bCs/>
                <w:color w:val="auto"/>
                <w:sz w:val="24"/>
                <w:szCs w:val="24"/>
                <w:highlight w:val="none"/>
              </w:rPr>
            </w:pPr>
          </w:p>
        </w:tc>
        <w:tc>
          <w:tcPr>
            <w:tcW w:w="439" w:type="pct"/>
            <w:vMerge w:val="continue"/>
            <w:vAlign w:val="center"/>
          </w:tcPr>
          <w:p w14:paraId="19888C93">
            <w:pPr>
              <w:widowControl/>
              <w:spacing w:line="240" w:lineRule="auto"/>
              <w:ind w:firstLine="0" w:firstLineChars="0"/>
              <w:rPr>
                <w:rFonts w:hint="eastAsia" w:ascii="仿宋" w:hAnsi="仿宋" w:eastAsia="仿宋" w:cs="仿宋"/>
                <w:b/>
                <w:bCs/>
                <w:color w:val="auto"/>
                <w:sz w:val="24"/>
                <w:szCs w:val="24"/>
                <w:highlight w:val="none"/>
              </w:rPr>
            </w:pPr>
          </w:p>
        </w:tc>
        <w:tc>
          <w:tcPr>
            <w:tcW w:w="909" w:type="dxa"/>
            <w:vAlign w:val="center"/>
          </w:tcPr>
          <w:p w14:paraId="2522EEF4">
            <w:pPr>
              <w:widowControl/>
              <w:spacing w:line="240" w:lineRule="auto"/>
              <w:ind w:firstLine="0" w:firstLineChars="0"/>
              <w:jc w:val="center"/>
              <w:rPr>
                <w:rFonts w:hint="eastAsia" w:ascii="仿宋" w:hAnsi="仿宋" w:eastAsia="仿宋" w:cs="仿宋"/>
                <w:b/>
                <w:bCs/>
                <w:color w:val="auto"/>
                <w:sz w:val="24"/>
                <w:szCs w:val="24"/>
                <w:highlight w:val="none"/>
              </w:rPr>
            </w:pPr>
            <w:r>
              <w:rPr>
                <w:rFonts w:ascii="仿宋" w:hAnsi="仿宋" w:eastAsia="仿宋" w:cs="仿宋"/>
                <w:b/>
                <w:bCs/>
                <w:color w:val="auto"/>
                <w:sz w:val="24"/>
                <w:szCs w:val="24"/>
                <w:highlight w:val="none"/>
              </w:rPr>
              <w:t>项目</w:t>
            </w:r>
          </w:p>
          <w:p w14:paraId="2DFB1558">
            <w:pPr>
              <w:widowControl/>
              <w:spacing w:line="240" w:lineRule="auto"/>
              <w:ind w:firstLine="0" w:firstLineChars="0"/>
              <w:jc w:val="center"/>
              <w:rPr>
                <w:rFonts w:hint="eastAsia" w:ascii="仿宋" w:hAnsi="仿宋" w:eastAsia="仿宋" w:cs="仿宋"/>
                <w:b/>
                <w:bCs/>
                <w:color w:val="auto"/>
                <w:sz w:val="24"/>
                <w:szCs w:val="24"/>
                <w:highlight w:val="none"/>
              </w:rPr>
            </w:pPr>
            <w:r>
              <w:rPr>
                <w:rFonts w:ascii="仿宋" w:hAnsi="仿宋" w:eastAsia="仿宋" w:cs="仿宋"/>
                <w:b/>
                <w:bCs/>
                <w:color w:val="auto"/>
                <w:sz w:val="24"/>
                <w:szCs w:val="24"/>
                <w:highlight w:val="none"/>
              </w:rPr>
              <w:t>成果</w:t>
            </w:r>
          </w:p>
          <w:p w14:paraId="472CC85A">
            <w:pPr>
              <w:widowControl/>
              <w:spacing w:line="240" w:lineRule="auto"/>
              <w:ind w:firstLine="0" w:firstLineChars="0"/>
              <w:jc w:val="center"/>
              <w:rPr>
                <w:rFonts w:hint="eastAsia" w:ascii="仿宋" w:hAnsi="仿宋" w:eastAsia="仿宋" w:cs="仿宋"/>
                <w:b/>
                <w:bCs/>
                <w:color w:val="auto"/>
                <w:sz w:val="24"/>
                <w:szCs w:val="24"/>
                <w:highlight w:val="none"/>
              </w:rPr>
            </w:pPr>
          </w:p>
        </w:tc>
        <w:tc>
          <w:tcPr>
            <w:tcW w:w="6689" w:type="dxa"/>
            <w:vAlign w:val="center"/>
          </w:tcPr>
          <w:p w14:paraId="1660420A">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根据投标人提供的项目成果进行综合打分：</w:t>
            </w:r>
          </w:p>
          <w:p w14:paraId="6B18CA02">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（1）成果体系完整、格式规范、内容全面、可操作性极强，得10分；</w:t>
            </w:r>
          </w:p>
          <w:p w14:paraId="18B38D65">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（2）成果完整、符合要求，得</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分；</w:t>
            </w:r>
          </w:p>
          <w:p w14:paraId="5C0F25DD">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（3）成果基本满足要求，得</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分；</w:t>
            </w:r>
          </w:p>
          <w:p w14:paraId="7585FB81">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（4）成果欠缺、针对性弱，得</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分；</w:t>
            </w:r>
          </w:p>
          <w:p w14:paraId="1C095D7B">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（5）未提供的，得0分。</w:t>
            </w:r>
          </w:p>
        </w:tc>
        <w:tc>
          <w:tcPr>
            <w:tcW w:w="986" w:type="dxa"/>
            <w:vAlign w:val="center"/>
          </w:tcPr>
          <w:p w14:paraId="10C19EB5">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10</w:t>
            </w:r>
          </w:p>
        </w:tc>
      </w:tr>
      <w:tr w14:paraId="7E613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46" w:type="pct"/>
            <w:vMerge w:val="continue"/>
            <w:vAlign w:val="center"/>
          </w:tcPr>
          <w:p w14:paraId="5F564969">
            <w:pPr>
              <w:widowControl/>
              <w:spacing w:line="240" w:lineRule="auto"/>
              <w:ind w:firstLine="0" w:firstLineChars="0"/>
              <w:rPr>
                <w:rFonts w:hint="eastAsia" w:ascii="仿宋" w:hAnsi="仿宋" w:eastAsia="仿宋" w:cs="仿宋"/>
                <w:b/>
                <w:bCs/>
                <w:color w:val="auto"/>
                <w:sz w:val="24"/>
                <w:szCs w:val="24"/>
                <w:highlight w:val="none"/>
              </w:rPr>
            </w:pPr>
          </w:p>
        </w:tc>
        <w:tc>
          <w:tcPr>
            <w:tcW w:w="439" w:type="pct"/>
            <w:vMerge w:val="continue"/>
            <w:vAlign w:val="center"/>
          </w:tcPr>
          <w:p w14:paraId="0C4B39DC">
            <w:pPr>
              <w:widowControl/>
              <w:spacing w:line="240" w:lineRule="auto"/>
              <w:ind w:firstLine="0" w:firstLineChars="0"/>
              <w:rPr>
                <w:rFonts w:hint="eastAsia" w:ascii="仿宋" w:hAnsi="仿宋" w:eastAsia="仿宋" w:cs="仿宋"/>
                <w:b/>
                <w:bCs/>
                <w:color w:val="auto"/>
                <w:sz w:val="24"/>
                <w:szCs w:val="24"/>
                <w:highlight w:val="none"/>
              </w:rPr>
            </w:pPr>
          </w:p>
        </w:tc>
        <w:tc>
          <w:tcPr>
            <w:tcW w:w="909" w:type="dxa"/>
            <w:vAlign w:val="center"/>
          </w:tcPr>
          <w:p w14:paraId="3CF751F0">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服务承诺</w:t>
            </w:r>
          </w:p>
        </w:tc>
        <w:tc>
          <w:tcPr>
            <w:tcW w:w="6689" w:type="dxa"/>
            <w:vAlign w:val="center"/>
          </w:tcPr>
          <w:p w14:paraId="1B382B05">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根据投标人提供的服务承诺进行综合打分：</w:t>
            </w:r>
          </w:p>
          <w:p w14:paraId="23660869">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（1）服务承诺全面具体、响应及时、保障有力，得10分；</w:t>
            </w:r>
          </w:p>
          <w:p w14:paraId="7E593005">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（2）服务承诺全面，但某些承诺深度不足或表述不够具体的，得</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分；</w:t>
            </w:r>
          </w:p>
          <w:p w14:paraId="0EDEB973">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（3）服务承诺基本全面，但针对性一般，无明显亮点的，得</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分；</w:t>
            </w:r>
          </w:p>
          <w:p w14:paraId="2BFA267A">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（4）服务承诺覆盖范围较窄，或内容泛泛，缺乏实际操作性的，得</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分；</w:t>
            </w:r>
          </w:p>
          <w:p w14:paraId="5727D176">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（5）未提供的，得0分。</w:t>
            </w:r>
          </w:p>
        </w:tc>
        <w:tc>
          <w:tcPr>
            <w:tcW w:w="986" w:type="dxa"/>
            <w:vAlign w:val="center"/>
          </w:tcPr>
          <w:p w14:paraId="2329319E">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10</w:t>
            </w:r>
          </w:p>
        </w:tc>
      </w:tr>
      <w:tr w14:paraId="0766B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 w:hRule="atLeast"/>
        </w:trPr>
        <w:tc>
          <w:tcPr>
            <w:tcW w:w="246" w:type="pct"/>
            <w:vMerge w:val="restart"/>
            <w:noWrap/>
            <w:vAlign w:val="center"/>
          </w:tcPr>
          <w:p w14:paraId="7251CEB9">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3</w:t>
            </w:r>
          </w:p>
        </w:tc>
        <w:tc>
          <w:tcPr>
            <w:tcW w:w="439" w:type="pct"/>
            <w:vMerge w:val="restart"/>
            <w:noWrap/>
            <w:vAlign w:val="center"/>
          </w:tcPr>
          <w:p w14:paraId="47748C90">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商务评审（30分）</w:t>
            </w:r>
          </w:p>
        </w:tc>
        <w:tc>
          <w:tcPr>
            <w:tcW w:w="888" w:type="dxa"/>
            <w:vAlign w:val="center"/>
          </w:tcPr>
          <w:p w14:paraId="5D4145CE">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投标人业绩（8分）</w:t>
            </w:r>
          </w:p>
        </w:tc>
        <w:tc>
          <w:tcPr>
            <w:tcW w:w="6537" w:type="dxa"/>
            <w:vAlign w:val="top"/>
          </w:tcPr>
          <w:p w14:paraId="5BFB92D6">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2023年1月1日以来，投标人具有类似公路交通情况统计、路网运行分析业绩的，每个得2分，本项满分8分。（需提供项目合同复印件或中标通知书或由用户单位出具的业绩证明复印件，并加盖投标人公章，未按要求提供不得分）</w:t>
            </w:r>
          </w:p>
        </w:tc>
        <w:tc>
          <w:tcPr>
            <w:tcW w:w="964" w:type="dxa"/>
            <w:vAlign w:val="center"/>
          </w:tcPr>
          <w:p w14:paraId="5D3CFA9A">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8</w:t>
            </w:r>
          </w:p>
        </w:tc>
      </w:tr>
      <w:tr w14:paraId="3AFA7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 w:hRule="atLeast"/>
        </w:trPr>
        <w:tc>
          <w:tcPr>
            <w:tcW w:w="246" w:type="pct"/>
            <w:vMerge w:val="continue"/>
            <w:noWrap/>
            <w:vAlign w:val="center"/>
          </w:tcPr>
          <w:p w14:paraId="0B99168A">
            <w:pPr>
              <w:widowControl/>
              <w:spacing w:line="240" w:lineRule="auto"/>
              <w:ind w:firstLine="0" w:firstLineChars="0"/>
              <w:jc w:val="center"/>
              <w:rPr>
                <w:rFonts w:hint="eastAsia" w:ascii="仿宋" w:hAnsi="仿宋" w:eastAsia="仿宋" w:cs="仿宋"/>
                <w:b/>
                <w:bCs/>
                <w:color w:val="auto"/>
                <w:sz w:val="24"/>
                <w:szCs w:val="24"/>
                <w:highlight w:val="none"/>
              </w:rPr>
            </w:pPr>
          </w:p>
        </w:tc>
        <w:tc>
          <w:tcPr>
            <w:tcW w:w="439" w:type="pct"/>
            <w:vMerge w:val="continue"/>
            <w:noWrap/>
            <w:vAlign w:val="center"/>
          </w:tcPr>
          <w:p w14:paraId="0B026D19">
            <w:pPr>
              <w:widowControl/>
              <w:spacing w:line="240" w:lineRule="auto"/>
              <w:ind w:firstLine="0" w:firstLineChars="0"/>
              <w:jc w:val="center"/>
              <w:rPr>
                <w:rFonts w:hint="eastAsia" w:ascii="仿宋" w:hAnsi="仿宋" w:eastAsia="仿宋" w:cs="仿宋"/>
                <w:b/>
                <w:bCs/>
                <w:color w:val="auto"/>
                <w:sz w:val="24"/>
                <w:szCs w:val="24"/>
                <w:highlight w:val="none"/>
              </w:rPr>
            </w:pPr>
          </w:p>
        </w:tc>
        <w:tc>
          <w:tcPr>
            <w:tcW w:w="888" w:type="dxa"/>
            <w:vAlign w:val="center"/>
          </w:tcPr>
          <w:p w14:paraId="77201E10">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项目负责人（11分）</w:t>
            </w:r>
          </w:p>
        </w:tc>
        <w:tc>
          <w:tcPr>
            <w:tcW w:w="6537" w:type="dxa"/>
            <w:vAlign w:val="top"/>
          </w:tcPr>
          <w:p w14:paraId="681CC80B">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（1）项目负责人具有高级及以上职称得4分，中级职称得2分，持有注册咨询工程师执业资格证书得4分，本项最高得8分 （需提供其职称、证书复印件）</w:t>
            </w:r>
          </w:p>
          <w:p w14:paraId="5E0B0E63">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项目负责人具有类似公路交通情况统计、路网运行分析项目负责人业绩，每个得1分，本项满分3分。（需提供项目合同或者委托人出具的履约证明材料，合同或履约证明材料中须明确反映出项目负责人的相关信息，未按要求提供不得分）</w:t>
            </w:r>
          </w:p>
        </w:tc>
        <w:tc>
          <w:tcPr>
            <w:tcW w:w="964" w:type="dxa"/>
            <w:vAlign w:val="center"/>
          </w:tcPr>
          <w:p w14:paraId="1C566F59">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11</w:t>
            </w:r>
          </w:p>
        </w:tc>
      </w:tr>
      <w:tr w14:paraId="62F5C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246" w:type="pct"/>
            <w:vMerge w:val="continue"/>
            <w:noWrap/>
            <w:vAlign w:val="center"/>
          </w:tcPr>
          <w:p w14:paraId="36AC8A7C">
            <w:pPr>
              <w:widowControl/>
              <w:spacing w:line="240" w:lineRule="auto"/>
              <w:ind w:firstLine="0" w:firstLineChars="0"/>
              <w:jc w:val="center"/>
              <w:rPr>
                <w:rFonts w:hint="eastAsia" w:ascii="仿宋" w:hAnsi="仿宋" w:eastAsia="仿宋" w:cs="仿宋"/>
                <w:b/>
                <w:bCs/>
                <w:color w:val="auto"/>
                <w:sz w:val="24"/>
                <w:szCs w:val="24"/>
                <w:highlight w:val="none"/>
              </w:rPr>
            </w:pPr>
          </w:p>
        </w:tc>
        <w:tc>
          <w:tcPr>
            <w:tcW w:w="439" w:type="pct"/>
            <w:vMerge w:val="continue"/>
            <w:noWrap/>
            <w:vAlign w:val="center"/>
          </w:tcPr>
          <w:p w14:paraId="144996BC">
            <w:pPr>
              <w:widowControl/>
              <w:spacing w:line="240" w:lineRule="auto"/>
              <w:ind w:firstLine="0" w:firstLineChars="0"/>
              <w:jc w:val="center"/>
              <w:rPr>
                <w:rFonts w:hint="eastAsia" w:ascii="仿宋" w:hAnsi="仿宋" w:eastAsia="仿宋" w:cs="仿宋"/>
                <w:b/>
                <w:bCs/>
                <w:color w:val="auto"/>
                <w:sz w:val="24"/>
                <w:szCs w:val="24"/>
                <w:highlight w:val="none"/>
              </w:rPr>
            </w:pPr>
          </w:p>
        </w:tc>
        <w:tc>
          <w:tcPr>
            <w:tcW w:w="888" w:type="dxa"/>
            <w:vAlign w:val="center"/>
          </w:tcPr>
          <w:p w14:paraId="66285C0C">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项目组成员（11分）</w:t>
            </w:r>
          </w:p>
        </w:tc>
        <w:tc>
          <w:tcPr>
            <w:tcW w:w="6537" w:type="dxa"/>
            <w:vAlign w:val="center"/>
          </w:tcPr>
          <w:p w14:paraId="468DB418">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根据投标人拟投入的研究人员（不含项目负责人）专业特长、资历、相关工作经验进行评分。</w:t>
            </w:r>
          </w:p>
          <w:p w14:paraId="28C819A4">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（1）拟投入人员专业具有交通运输类、经济统计类，每一个专业得3分，满分6分；</w:t>
            </w:r>
          </w:p>
          <w:p w14:paraId="247E9864">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（2）拟投入人员具备中级职称得1分，高级职称得3分，最多得5分。</w:t>
            </w:r>
          </w:p>
          <w:p w14:paraId="44BAC635">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（需提供其职称、证书复印件并加盖投标人公章，未按要求提供不得分）</w:t>
            </w:r>
          </w:p>
        </w:tc>
        <w:tc>
          <w:tcPr>
            <w:tcW w:w="964" w:type="dxa"/>
            <w:vAlign w:val="center"/>
          </w:tcPr>
          <w:p w14:paraId="16FC2A77">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11</w:t>
            </w:r>
          </w:p>
        </w:tc>
      </w:tr>
    </w:tbl>
    <w:p w14:paraId="3826D815">
      <w:pPr>
        <w:pStyle w:val="253"/>
        <w:keepNext w:val="0"/>
        <w:keepLines w:val="0"/>
        <w:pageBreakBefore w:val="0"/>
        <w:kinsoku/>
        <w:wordWrap/>
        <w:overflowPunct/>
        <w:topLinePunct w:val="0"/>
        <w:autoSpaceDE/>
        <w:autoSpaceDN/>
        <w:bidi w:val="0"/>
        <w:adjustRightInd/>
        <w:snapToGrid/>
        <w:spacing w:line="480" w:lineRule="exact"/>
        <w:ind w:firstLine="441"/>
        <w:textAlignment w:val="auto"/>
        <w:outlineLvl w:val="1"/>
        <w:rPr>
          <w:rFonts w:hint="default" w:ascii="仿宋" w:hAnsi="仿宋" w:eastAsia="仿宋" w:cs="仿宋"/>
          <w:b/>
          <w:color w:val="auto"/>
          <w:highlight w:val="none"/>
          <w:lang w:val="en-US" w:eastAsia="zh-CN"/>
        </w:rPr>
      </w:pPr>
      <w:r>
        <w:rPr>
          <w:rFonts w:hint="eastAsia"/>
          <w:color w:val="auto"/>
          <w:highlight w:val="none"/>
        </w:rPr>
        <w:br w:type="page"/>
      </w:r>
      <w:bookmarkStart w:id="333" w:name="_Toc23112"/>
      <w:r>
        <w:rPr>
          <w:rFonts w:hint="eastAsia" w:ascii="仿宋" w:hAnsi="仿宋" w:eastAsia="仿宋" w:cs="仿宋"/>
          <w:b/>
          <w:color w:val="auto"/>
          <w:highlight w:val="none"/>
          <w:lang w:val="en-US" w:eastAsia="zh-CN"/>
        </w:rPr>
        <w:t>分包二：</w:t>
      </w:r>
      <w:bookmarkEnd w:id="333"/>
      <w:r>
        <w:rPr>
          <w:rFonts w:hint="eastAsia" w:ascii="仿宋" w:hAnsi="仿宋" w:eastAsia="仿宋" w:cs="仿宋"/>
          <w:b/>
          <w:color w:val="auto"/>
          <w:highlight w:val="none"/>
          <w:lang w:val="en-US" w:eastAsia="zh-CN"/>
        </w:rPr>
        <w:t>长三角高速跨区域路网管控辅助服务</w:t>
      </w:r>
    </w:p>
    <w:tbl>
      <w:tblPr>
        <w:tblStyle w:val="33"/>
        <w:tblW w:w="5078" w:type="pct"/>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876"/>
        <w:gridCol w:w="908"/>
        <w:gridCol w:w="6688"/>
        <w:gridCol w:w="985"/>
      </w:tblGrid>
      <w:tr w14:paraId="400D9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9" w:hRule="atLeast"/>
        </w:trPr>
        <w:tc>
          <w:tcPr>
            <w:tcW w:w="326" w:type="pct"/>
            <w:noWrap/>
            <w:vAlign w:val="center"/>
          </w:tcPr>
          <w:p w14:paraId="200A289A">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w:t>
            </w:r>
          </w:p>
        </w:tc>
        <w:tc>
          <w:tcPr>
            <w:tcW w:w="881" w:type="pct"/>
            <w:gridSpan w:val="2"/>
            <w:noWrap/>
            <w:vAlign w:val="center"/>
          </w:tcPr>
          <w:p w14:paraId="40C44F6C">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价格</w:t>
            </w:r>
          </w:p>
          <w:p w14:paraId="4627B3E8">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（10分）</w:t>
            </w:r>
          </w:p>
        </w:tc>
        <w:tc>
          <w:tcPr>
            <w:tcW w:w="3305" w:type="pct"/>
          </w:tcPr>
          <w:p w14:paraId="7C2DA4AB">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价格分采用低价优先法计算，即满足招标文件要求且投标价格最低的投标报价为评标基准价，其价格分为满分。其他投标人的价格分统一按照下列公式计算（小数点保留两位）：投标报价得分=(评标基准价／投标报价)×10。</w:t>
            </w:r>
          </w:p>
          <w:p w14:paraId="7D5828D3">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因落实政府采购政策进行价格调整的，以调整后的价格计算评标（审）基准价和投标（响应）报价。</w:t>
            </w:r>
          </w:p>
        </w:tc>
        <w:tc>
          <w:tcPr>
            <w:tcW w:w="486" w:type="pct"/>
            <w:vAlign w:val="center"/>
          </w:tcPr>
          <w:p w14:paraId="7E1328B5">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10</w:t>
            </w:r>
          </w:p>
        </w:tc>
      </w:tr>
      <w:tr w14:paraId="73D19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9" w:hRule="atLeast"/>
        </w:trPr>
        <w:tc>
          <w:tcPr>
            <w:tcW w:w="326" w:type="pct"/>
            <w:vMerge w:val="restart"/>
            <w:vAlign w:val="center"/>
          </w:tcPr>
          <w:p w14:paraId="64D4CC10">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w:t>
            </w:r>
          </w:p>
        </w:tc>
        <w:tc>
          <w:tcPr>
            <w:tcW w:w="432" w:type="pct"/>
            <w:vMerge w:val="restart"/>
            <w:vAlign w:val="center"/>
          </w:tcPr>
          <w:p w14:paraId="52A569AA">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技</w:t>
            </w:r>
          </w:p>
          <w:p w14:paraId="2ED36F28">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术</w:t>
            </w:r>
          </w:p>
          <w:p w14:paraId="005C278E">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评</w:t>
            </w:r>
          </w:p>
          <w:p w14:paraId="6A6613C7">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审</w:t>
            </w:r>
          </w:p>
          <w:p w14:paraId="6911A50A">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（60分）</w:t>
            </w:r>
          </w:p>
        </w:tc>
        <w:tc>
          <w:tcPr>
            <w:tcW w:w="448" w:type="pct"/>
            <w:noWrap/>
            <w:vAlign w:val="center"/>
          </w:tcPr>
          <w:p w14:paraId="64F56080">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现状及重难点分析</w:t>
            </w:r>
          </w:p>
          <w:p w14:paraId="3483EF9C">
            <w:pPr>
              <w:widowControl/>
              <w:spacing w:line="240" w:lineRule="auto"/>
              <w:ind w:firstLine="0" w:firstLineChars="0"/>
              <w:jc w:val="center"/>
              <w:rPr>
                <w:rFonts w:hint="eastAsia" w:ascii="仿宋" w:hAnsi="仿宋" w:eastAsia="仿宋" w:cs="仿宋"/>
                <w:b/>
                <w:bCs/>
                <w:color w:val="auto"/>
                <w:sz w:val="24"/>
                <w:szCs w:val="24"/>
                <w:highlight w:val="none"/>
              </w:rPr>
            </w:pPr>
          </w:p>
        </w:tc>
        <w:tc>
          <w:tcPr>
            <w:tcW w:w="3305" w:type="pct"/>
            <w:vAlign w:val="center"/>
          </w:tcPr>
          <w:p w14:paraId="448BF6BC">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对项目现状、风险、重难点把握极其精准，分析透彻、思路创新等进行综合打分：</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（1）内容理解深刻、分析全面精准的，得15分；</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（2）内容理解较充分、分析较完整的，得13分；</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（3）内容理解基本到位、分析一般的，得11分；</w:t>
            </w:r>
          </w:p>
          <w:p w14:paraId="48855394">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（4）内容理解有一定深度、分析不够全面或存在明显短板的，得9分；</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（5）内容理解浅显、分析片面的，得6分；</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（6）未提供的，得0分。</w:t>
            </w:r>
          </w:p>
        </w:tc>
        <w:tc>
          <w:tcPr>
            <w:tcW w:w="486" w:type="pct"/>
            <w:vAlign w:val="center"/>
          </w:tcPr>
          <w:p w14:paraId="3DE420F8">
            <w:pPr>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15</w:t>
            </w:r>
          </w:p>
        </w:tc>
      </w:tr>
      <w:tr w14:paraId="1F6F3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 w:hRule="atLeast"/>
        </w:trPr>
        <w:tc>
          <w:tcPr>
            <w:tcW w:w="326" w:type="pct"/>
            <w:vMerge w:val="continue"/>
            <w:vAlign w:val="center"/>
          </w:tcPr>
          <w:p w14:paraId="4AFB4B79">
            <w:pPr>
              <w:widowControl/>
              <w:spacing w:line="240" w:lineRule="auto"/>
              <w:ind w:firstLine="0" w:firstLineChars="0"/>
              <w:rPr>
                <w:rFonts w:hint="eastAsia" w:ascii="仿宋" w:hAnsi="仿宋" w:eastAsia="仿宋" w:cs="仿宋"/>
                <w:b/>
                <w:bCs/>
                <w:color w:val="auto"/>
                <w:sz w:val="24"/>
                <w:szCs w:val="24"/>
                <w:highlight w:val="none"/>
              </w:rPr>
            </w:pPr>
          </w:p>
        </w:tc>
        <w:tc>
          <w:tcPr>
            <w:tcW w:w="432" w:type="pct"/>
            <w:vMerge w:val="continue"/>
            <w:vAlign w:val="center"/>
          </w:tcPr>
          <w:p w14:paraId="258B37CD">
            <w:pPr>
              <w:widowControl/>
              <w:spacing w:line="240" w:lineRule="auto"/>
              <w:ind w:firstLine="0" w:firstLineChars="0"/>
              <w:rPr>
                <w:rFonts w:hint="eastAsia" w:ascii="仿宋" w:hAnsi="仿宋" w:eastAsia="仿宋" w:cs="仿宋"/>
                <w:b/>
                <w:bCs/>
                <w:color w:val="auto"/>
                <w:sz w:val="24"/>
                <w:szCs w:val="24"/>
                <w:highlight w:val="none"/>
              </w:rPr>
            </w:pPr>
          </w:p>
        </w:tc>
        <w:tc>
          <w:tcPr>
            <w:tcW w:w="448" w:type="pct"/>
            <w:vAlign w:val="center"/>
          </w:tcPr>
          <w:p w14:paraId="68E87AF4">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实施路径和方法</w:t>
            </w:r>
          </w:p>
          <w:p w14:paraId="39C1C76B">
            <w:pPr>
              <w:widowControl/>
              <w:spacing w:line="240" w:lineRule="auto"/>
              <w:ind w:firstLine="0" w:firstLineChars="0"/>
              <w:jc w:val="center"/>
              <w:rPr>
                <w:rFonts w:hint="eastAsia" w:ascii="仿宋" w:hAnsi="仿宋" w:eastAsia="仿宋" w:cs="仿宋"/>
                <w:b/>
                <w:bCs/>
                <w:color w:val="auto"/>
                <w:sz w:val="24"/>
                <w:szCs w:val="24"/>
                <w:highlight w:val="none"/>
              </w:rPr>
            </w:pPr>
          </w:p>
        </w:tc>
        <w:tc>
          <w:tcPr>
            <w:tcW w:w="3305" w:type="pct"/>
          </w:tcPr>
          <w:p w14:paraId="5A0C3979">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根据投标人提供的实施路径和方法进行综合打分：</w:t>
            </w:r>
            <w:r>
              <w:rPr>
                <w:rFonts w:hint="eastAsia" w:ascii="仿宋" w:hAnsi="仿宋" w:eastAsia="仿宋" w:cs="仿宋"/>
                <w:color w:val="auto"/>
                <w:sz w:val="24"/>
                <w:szCs w:val="24"/>
                <w:highlight w:val="none"/>
              </w:rPr>
              <w:br w:type="textWrapping"/>
            </w:r>
            <w:r>
              <w:rPr>
                <w:rFonts w:hint="eastAsia" w:ascii="仿宋" w:hAnsi="仿宋" w:eastAsia="仿宋" w:cs="仿宋"/>
                <w:color w:val="auto"/>
                <w:sz w:val="24"/>
                <w:szCs w:val="24"/>
                <w:highlight w:val="none"/>
              </w:rPr>
              <w:t>（1）实施路径科学合理、工作方法创新、流程清晰、操作性极强，得10分；</w:t>
            </w:r>
          </w:p>
          <w:p w14:paraId="2205BC7D">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（2）路径合理、方法可行，得</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分；</w:t>
            </w:r>
          </w:p>
          <w:p w14:paraId="511CBF9B">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（3）路径基本合理、满足要求，得</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分；</w:t>
            </w:r>
          </w:p>
          <w:p w14:paraId="56EF7FFD">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（4）路径不合理或方法单一，得</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分；</w:t>
            </w:r>
          </w:p>
          <w:p w14:paraId="3D0DEF37">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（5）未提供不得分。</w:t>
            </w:r>
          </w:p>
        </w:tc>
        <w:tc>
          <w:tcPr>
            <w:tcW w:w="486" w:type="pct"/>
            <w:vAlign w:val="center"/>
          </w:tcPr>
          <w:p w14:paraId="5A9EF6CF">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10</w:t>
            </w:r>
          </w:p>
        </w:tc>
      </w:tr>
      <w:tr w14:paraId="56950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rPr>
        <w:tc>
          <w:tcPr>
            <w:tcW w:w="326" w:type="pct"/>
            <w:vMerge w:val="continue"/>
            <w:vAlign w:val="center"/>
          </w:tcPr>
          <w:p w14:paraId="08A82444">
            <w:pPr>
              <w:widowControl/>
              <w:spacing w:line="240" w:lineRule="auto"/>
              <w:ind w:firstLine="0" w:firstLineChars="0"/>
              <w:rPr>
                <w:rFonts w:hint="eastAsia" w:ascii="仿宋" w:hAnsi="仿宋" w:eastAsia="仿宋" w:cs="仿宋"/>
                <w:b/>
                <w:bCs/>
                <w:color w:val="auto"/>
                <w:sz w:val="24"/>
                <w:szCs w:val="24"/>
                <w:highlight w:val="none"/>
              </w:rPr>
            </w:pPr>
          </w:p>
        </w:tc>
        <w:tc>
          <w:tcPr>
            <w:tcW w:w="432" w:type="pct"/>
            <w:vMerge w:val="continue"/>
            <w:vAlign w:val="center"/>
          </w:tcPr>
          <w:p w14:paraId="35840225">
            <w:pPr>
              <w:widowControl/>
              <w:spacing w:line="240" w:lineRule="auto"/>
              <w:ind w:firstLine="0" w:firstLineChars="0"/>
              <w:rPr>
                <w:rFonts w:hint="eastAsia" w:ascii="仿宋" w:hAnsi="仿宋" w:eastAsia="仿宋" w:cs="仿宋"/>
                <w:b/>
                <w:bCs/>
                <w:color w:val="auto"/>
                <w:sz w:val="24"/>
                <w:szCs w:val="24"/>
                <w:highlight w:val="none"/>
              </w:rPr>
            </w:pPr>
          </w:p>
        </w:tc>
        <w:tc>
          <w:tcPr>
            <w:tcW w:w="448" w:type="pct"/>
            <w:vAlign w:val="center"/>
          </w:tcPr>
          <w:p w14:paraId="24531D2F">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工作组织和进度计划</w:t>
            </w:r>
          </w:p>
          <w:p w14:paraId="23936274">
            <w:pPr>
              <w:widowControl/>
              <w:spacing w:line="240" w:lineRule="auto"/>
              <w:ind w:firstLine="0" w:firstLineChars="0"/>
              <w:jc w:val="center"/>
              <w:rPr>
                <w:rFonts w:hint="eastAsia" w:ascii="仿宋" w:hAnsi="仿宋" w:eastAsia="仿宋" w:cs="仿宋"/>
                <w:b/>
                <w:bCs/>
                <w:color w:val="auto"/>
                <w:sz w:val="24"/>
                <w:szCs w:val="24"/>
                <w:highlight w:val="none"/>
              </w:rPr>
            </w:pPr>
          </w:p>
        </w:tc>
        <w:tc>
          <w:tcPr>
            <w:tcW w:w="3305" w:type="pct"/>
            <w:vAlign w:val="center"/>
          </w:tcPr>
          <w:p w14:paraId="6834AF77">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根据投标人提供的工作组织和进度计划等进行综合打分：</w:t>
            </w:r>
          </w:p>
          <w:p w14:paraId="483C5254">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（1）组织架构完善、职责明确、进度安排严谨、完全满足工期要求，得5分；</w:t>
            </w:r>
          </w:p>
          <w:p w14:paraId="4D2F4226">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（2）组织较完善、进度合理，得4分；</w:t>
            </w:r>
          </w:p>
          <w:p w14:paraId="29097948">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（3）组织基本可行、满足工期，得3分；</w:t>
            </w:r>
          </w:p>
          <w:p w14:paraId="6B7E91F3">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（4）安排不合理或未提供不得分。</w:t>
            </w:r>
          </w:p>
        </w:tc>
        <w:tc>
          <w:tcPr>
            <w:tcW w:w="486" w:type="pct"/>
            <w:vAlign w:val="center"/>
          </w:tcPr>
          <w:p w14:paraId="71B20C76">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5</w:t>
            </w:r>
          </w:p>
        </w:tc>
      </w:tr>
      <w:tr w14:paraId="3DF2F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9" w:hRule="atLeast"/>
        </w:trPr>
        <w:tc>
          <w:tcPr>
            <w:tcW w:w="326" w:type="pct"/>
            <w:vMerge w:val="continue"/>
            <w:vAlign w:val="center"/>
          </w:tcPr>
          <w:p w14:paraId="2F54FD99">
            <w:pPr>
              <w:widowControl/>
              <w:spacing w:line="240" w:lineRule="auto"/>
              <w:ind w:firstLine="0" w:firstLineChars="0"/>
              <w:rPr>
                <w:rFonts w:hint="eastAsia" w:ascii="仿宋" w:hAnsi="仿宋" w:eastAsia="仿宋" w:cs="仿宋"/>
                <w:b/>
                <w:bCs/>
                <w:color w:val="auto"/>
                <w:sz w:val="24"/>
                <w:szCs w:val="24"/>
                <w:highlight w:val="none"/>
              </w:rPr>
            </w:pPr>
          </w:p>
        </w:tc>
        <w:tc>
          <w:tcPr>
            <w:tcW w:w="432" w:type="pct"/>
            <w:vMerge w:val="continue"/>
            <w:vAlign w:val="center"/>
          </w:tcPr>
          <w:p w14:paraId="6A919B10">
            <w:pPr>
              <w:widowControl/>
              <w:spacing w:line="240" w:lineRule="auto"/>
              <w:ind w:firstLine="0" w:firstLineChars="0"/>
              <w:rPr>
                <w:rFonts w:hint="eastAsia" w:ascii="仿宋" w:hAnsi="仿宋" w:eastAsia="仿宋" w:cs="仿宋"/>
                <w:b/>
                <w:bCs/>
                <w:color w:val="auto"/>
                <w:sz w:val="24"/>
                <w:szCs w:val="24"/>
                <w:highlight w:val="none"/>
              </w:rPr>
            </w:pPr>
          </w:p>
        </w:tc>
        <w:tc>
          <w:tcPr>
            <w:tcW w:w="448" w:type="pct"/>
            <w:vAlign w:val="center"/>
          </w:tcPr>
          <w:p w14:paraId="6EF6B5C3">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质量保障措施</w:t>
            </w:r>
          </w:p>
        </w:tc>
        <w:tc>
          <w:tcPr>
            <w:tcW w:w="3305" w:type="pct"/>
            <w:vAlign w:val="center"/>
          </w:tcPr>
          <w:p w14:paraId="09A7EAD6">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根据投标人提供的质量保障措施进行综合打分：</w:t>
            </w:r>
          </w:p>
          <w:p w14:paraId="09E8C3ED">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ascii="仿宋" w:hAnsi="仿宋" w:eastAsia="仿宋" w:cs="仿宋"/>
                <w:color w:val="auto"/>
                <w:sz w:val="24"/>
                <w:szCs w:val="24"/>
                <w:highlight w:val="none"/>
              </w:rPr>
              <w:t>质量管控体系完整、环节措施具体、全程可追溯，得 10 分；</w:t>
            </w:r>
          </w:p>
          <w:p w14:paraId="41B106B5">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ascii="仿宋" w:hAnsi="仿宋" w:eastAsia="仿宋" w:cs="仿宋"/>
                <w:color w:val="auto"/>
                <w:sz w:val="24"/>
                <w:szCs w:val="24"/>
                <w:highlight w:val="none"/>
              </w:rPr>
              <w:t xml:space="preserve">体系较完善、措施有效，得 </w:t>
            </w:r>
            <w:r>
              <w:rPr>
                <w:rFonts w:hint="eastAsia" w:ascii="仿宋" w:hAnsi="仿宋" w:eastAsia="仿宋" w:cs="仿宋"/>
                <w:color w:val="auto"/>
                <w:sz w:val="24"/>
                <w:szCs w:val="24"/>
                <w:highlight w:val="none"/>
                <w:lang w:val="en-US" w:eastAsia="zh-CN"/>
              </w:rPr>
              <w:t>9</w:t>
            </w:r>
            <w:r>
              <w:rPr>
                <w:rFonts w:ascii="仿宋" w:hAnsi="仿宋" w:eastAsia="仿宋" w:cs="仿宋"/>
                <w:color w:val="auto"/>
                <w:sz w:val="24"/>
                <w:szCs w:val="24"/>
                <w:highlight w:val="none"/>
              </w:rPr>
              <w:t xml:space="preserve"> 分；</w:t>
            </w:r>
          </w:p>
          <w:p w14:paraId="3F5B1CA7">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r>
              <w:rPr>
                <w:rFonts w:ascii="仿宋" w:hAnsi="仿宋" w:eastAsia="仿宋" w:cs="仿宋"/>
                <w:color w:val="auto"/>
                <w:sz w:val="24"/>
                <w:szCs w:val="24"/>
                <w:highlight w:val="none"/>
              </w:rPr>
              <w:t xml:space="preserve">体系基本合理、满足要求，得 </w:t>
            </w:r>
            <w:r>
              <w:rPr>
                <w:rFonts w:hint="eastAsia" w:ascii="仿宋" w:hAnsi="仿宋" w:eastAsia="仿宋" w:cs="仿宋"/>
                <w:color w:val="auto"/>
                <w:sz w:val="24"/>
                <w:szCs w:val="24"/>
                <w:highlight w:val="none"/>
                <w:lang w:val="en-US" w:eastAsia="zh-CN"/>
              </w:rPr>
              <w:t>8</w:t>
            </w:r>
            <w:r>
              <w:rPr>
                <w:rFonts w:ascii="仿宋" w:hAnsi="仿宋" w:eastAsia="仿宋" w:cs="仿宋"/>
                <w:color w:val="auto"/>
                <w:sz w:val="24"/>
                <w:szCs w:val="24"/>
                <w:highlight w:val="none"/>
              </w:rPr>
              <w:t>分；</w:t>
            </w:r>
          </w:p>
          <w:p w14:paraId="256716C6">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ascii="仿宋" w:hAnsi="仿宋" w:eastAsia="仿宋" w:cs="仿宋"/>
                <w:color w:val="auto"/>
                <w:sz w:val="24"/>
                <w:szCs w:val="24"/>
                <w:highlight w:val="none"/>
              </w:rPr>
              <w:t>措施笼统或保障不足，得</w:t>
            </w:r>
            <w:r>
              <w:rPr>
                <w:rFonts w:hint="eastAsia" w:ascii="仿宋" w:hAnsi="仿宋" w:eastAsia="仿宋" w:cs="仿宋"/>
                <w:color w:val="auto"/>
                <w:sz w:val="24"/>
                <w:szCs w:val="24"/>
                <w:highlight w:val="none"/>
                <w:lang w:val="en-US" w:eastAsia="zh-CN"/>
              </w:rPr>
              <w:t>7</w:t>
            </w:r>
            <w:r>
              <w:rPr>
                <w:rFonts w:ascii="仿宋" w:hAnsi="仿宋" w:eastAsia="仿宋" w:cs="仿宋"/>
                <w:color w:val="auto"/>
                <w:sz w:val="24"/>
                <w:szCs w:val="24"/>
                <w:highlight w:val="none"/>
              </w:rPr>
              <w:t xml:space="preserve"> 分；</w:t>
            </w:r>
          </w:p>
          <w:p w14:paraId="7EE1772D">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r>
              <w:rPr>
                <w:rFonts w:ascii="仿宋" w:hAnsi="仿宋" w:eastAsia="仿宋" w:cs="仿宋"/>
                <w:color w:val="auto"/>
                <w:sz w:val="24"/>
                <w:szCs w:val="24"/>
                <w:highlight w:val="none"/>
              </w:rPr>
              <w:t>未提供不得分。</w:t>
            </w:r>
          </w:p>
        </w:tc>
        <w:tc>
          <w:tcPr>
            <w:tcW w:w="486" w:type="pct"/>
            <w:vAlign w:val="center"/>
          </w:tcPr>
          <w:p w14:paraId="2AA603F7">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10</w:t>
            </w:r>
          </w:p>
        </w:tc>
      </w:tr>
      <w:tr w14:paraId="3EF50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9" w:hRule="atLeast"/>
        </w:trPr>
        <w:tc>
          <w:tcPr>
            <w:tcW w:w="326" w:type="pct"/>
            <w:vMerge w:val="continue"/>
            <w:vAlign w:val="center"/>
          </w:tcPr>
          <w:p w14:paraId="2CD6D420">
            <w:pPr>
              <w:widowControl/>
              <w:spacing w:line="240" w:lineRule="auto"/>
              <w:ind w:firstLine="0" w:firstLineChars="0"/>
              <w:rPr>
                <w:rFonts w:hint="eastAsia" w:ascii="仿宋" w:hAnsi="仿宋" w:eastAsia="仿宋" w:cs="仿宋"/>
                <w:b/>
                <w:bCs/>
                <w:color w:val="auto"/>
                <w:sz w:val="24"/>
                <w:szCs w:val="24"/>
                <w:highlight w:val="none"/>
              </w:rPr>
            </w:pPr>
          </w:p>
        </w:tc>
        <w:tc>
          <w:tcPr>
            <w:tcW w:w="432" w:type="pct"/>
            <w:vMerge w:val="continue"/>
            <w:vAlign w:val="center"/>
          </w:tcPr>
          <w:p w14:paraId="4894A352">
            <w:pPr>
              <w:widowControl/>
              <w:spacing w:line="240" w:lineRule="auto"/>
              <w:ind w:firstLine="0" w:firstLineChars="0"/>
              <w:rPr>
                <w:rFonts w:hint="eastAsia" w:ascii="仿宋" w:hAnsi="仿宋" w:eastAsia="仿宋" w:cs="仿宋"/>
                <w:b/>
                <w:bCs/>
                <w:color w:val="auto"/>
                <w:sz w:val="24"/>
                <w:szCs w:val="24"/>
                <w:highlight w:val="none"/>
              </w:rPr>
            </w:pPr>
          </w:p>
        </w:tc>
        <w:tc>
          <w:tcPr>
            <w:tcW w:w="448" w:type="pct"/>
            <w:vAlign w:val="center"/>
          </w:tcPr>
          <w:p w14:paraId="094A5683">
            <w:pPr>
              <w:widowControl/>
              <w:spacing w:line="240" w:lineRule="auto"/>
              <w:ind w:firstLine="0" w:firstLineChars="0"/>
              <w:jc w:val="center"/>
              <w:rPr>
                <w:rFonts w:hint="eastAsia" w:ascii="仿宋" w:hAnsi="仿宋" w:eastAsia="仿宋" w:cs="仿宋"/>
                <w:b/>
                <w:bCs/>
                <w:color w:val="auto"/>
                <w:sz w:val="24"/>
                <w:szCs w:val="24"/>
                <w:highlight w:val="none"/>
              </w:rPr>
            </w:pPr>
            <w:r>
              <w:rPr>
                <w:rFonts w:ascii="仿宋" w:hAnsi="仿宋" w:eastAsia="仿宋" w:cs="仿宋"/>
                <w:b/>
                <w:bCs/>
                <w:color w:val="auto"/>
                <w:sz w:val="24"/>
                <w:szCs w:val="24"/>
                <w:highlight w:val="none"/>
              </w:rPr>
              <w:t>项目</w:t>
            </w:r>
          </w:p>
          <w:p w14:paraId="03E58B47">
            <w:pPr>
              <w:widowControl/>
              <w:spacing w:line="240" w:lineRule="auto"/>
              <w:ind w:firstLine="0" w:firstLineChars="0"/>
              <w:jc w:val="center"/>
              <w:rPr>
                <w:rFonts w:hint="eastAsia" w:ascii="仿宋" w:hAnsi="仿宋" w:eastAsia="仿宋" w:cs="仿宋"/>
                <w:b/>
                <w:bCs/>
                <w:color w:val="auto"/>
                <w:sz w:val="24"/>
                <w:szCs w:val="24"/>
                <w:highlight w:val="none"/>
              </w:rPr>
            </w:pPr>
            <w:r>
              <w:rPr>
                <w:rFonts w:ascii="仿宋" w:hAnsi="仿宋" w:eastAsia="仿宋" w:cs="仿宋"/>
                <w:b/>
                <w:bCs/>
                <w:color w:val="auto"/>
                <w:sz w:val="24"/>
                <w:szCs w:val="24"/>
                <w:highlight w:val="none"/>
              </w:rPr>
              <w:t>成果</w:t>
            </w:r>
          </w:p>
          <w:p w14:paraId="181CD24D">
            <w:pPr>
              <w:widowControl/>
              <w:spacing w:line="240" w:lineRule="auto"/>
              <w:ind w:firstLine="0" w:firstLineChars="0"/>
              <w:jc w:val="center"/>
              <w:rPr>
                <w:rFonts w:hint="eastAsia" w:ascii="仿宋" w:hAnsi="仿宋" w:eastAsia="仿宋" w:cs="仿宋"/>
                <w:b/>
                <w:bCs/>
                <w:color w:val="auto"/>
                <w:sz w:val="24"/>
                <w:szCs w:val="24"/>
                <w:highlight w:val="none"/>
              </w:rPr>
            </w:pPr>
          </w:p>
        </w:tc>
        <w:tc>
          <w:tcPr>
            <w:tcW w:w="3305" w:type="pct"/>
            <w:vAlign w:val="center"/>
          </w:tcPr>
          <w:p w14:paraId="24BC8D98">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根据投标人提供的项目成果进行综合打分：</w:t>
            </w:r>
          </w:p>
          <w:p w14:paraId="7090CDD8">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（1）成果体系完整、格式规范、内容全面、可操作性极强，得10分；</w:t>
            </w:r>
          </w:p>
          <w:p w14:paraId="7E35B833">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（2）成果完整、符合要求，得</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分；</w:t>
            </w:r>
          </w:p>
          <w:p w14:paraId="6DE8698C">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（3）成果基本满足要求，得</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分；</w:t>
            </w:r>
          </w:p>
          <w:p w14:paraId="082604CB">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（4）成果欠缺、针对性弱，得</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分；</w:t>
            </w:r>
          </w:p>
          <w:p w14:paraId="5143D91B">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（5）未提供的，得0分。</w:t>
            </w:r>
          </w:p>
        </w:tc>
        <w:tc>
          <w:tcPr>
            <w:tcW w:w="486" w:type="pct"/>
            <w:vAlign w:val="center"/>
          </w:tcPr>
          <w:p w14:paraId="32ECBBFF">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10</w:t>
            </w:r>
          </w:p>
        </w:tc>
      </w:tr>
      <w:tr w14:paraId="0435E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9" w:hRule="atLeast"/>
        </w:trPr>
        <w:tc>
          <w:tcPr>
            <w:tcW w:w="326" w:type="pct"/>
            <w:vMerge w:val="continue"/>
            <w:vAlign w:val="center"/>
          </w:tcPr>
          <w:p w14:paraId="584D193E">
            <w:pPr>
              <w:widowControl/>
              <w:spacing w:line="240" w:lineRule="auto"/>
              <w:ind w:firstLine="0" w:firstLineChars="0"/>
              <w:rPr>
                <w:rFonts w:hint="eastAsia" w:ascii="仿宋" w:hAnsi="仿宋" w:eastAsia="仿宋" w:cs="仿宋"/>
                <w:b/>
                <w:bCs/>
                <w:color w:val="auto"/>
                <w:sz w:val="24"/>
                <w:szCs w:val="24"/>
                <w:highlight w:val="none"/>
              </w:rPr>
            </w:pPr>
          </w:p>
        </w:tc>
        <w:tc>
          <w:tcPr>
            <w:tcW w:w="432" w:type="pct"/>
            <w:vMerge w:val="continue"/>
            <w:vAlign w:val="center"/>
          </w:tcPr>
          <w:p w14:paraId="20CE347F">
            <w:pPr>
              <w:widowControl/>
              <w:spacing w:line="240" w:lineRule="auto"/>
              <w:ind w:firstLine="0" w:firstLineChars="0"/>
              <w:rPr>
                <w:rFonts w:hint="eastAsia" w:ascii="仿宋" w:hAnsi="仿宋" w:eastAsia="仿宋" w:cs="仿宋"/>
                <w:b/>
                <w:bCs/>
                <w:color w:val="auto"/>
                <w:sz w:val="24"/>
                <w:szCs w:val="24"/>
                <w:highlight w:val="none"/>
              </w:rPr>
            </w:pPr>
          </w:p>
        </w:tc>
        <w:tc>
          <w:tcPr>
            <w:tcW w:w="448" w:type="pct"/>
            <w:vAlign w:val="center"/>
          </w:tcPr>
          <w:p w14:paraId="21C09EDE">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服务承诺</w:t>
            </w:r>
          </w:p>
        </w:tc>
        <w:tc>
          <w:tcPr>
            <w:tcW w:w="3305" w:type="pct"/>
            <w:vAlign w:val="center"/>
          </w:tcPr>
          <w:p w14:paraId="759B5CFF">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根据投标人提供的服务承诺进行综合打分：</w:t>
            </w:r>
          </w:p>
          <w:p w14:paraId="644BA53C">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（1）服务承诺全面具体、响应及时、保障有力，得10分；</w:t>
            </w:r>
          </w:p>
          <w:p w14:paraId="450EDFB7">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（2）服务承诺全面，但某些承诺深度不足或表述不够具体的，得</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分；</w:t>
            </w:r>
          </w:p>
          <w:p w14:paraId="66A93F0D">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（3）服务承诺基本全面，但针对性一般，无明显亮点的，得</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分；</w:t>
            </w:r>
          </w:p>
          <w:p w14:paraId="05E4D22F">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（4）服务承诺覆盖范围较窄，或内容泛泛，缺乏实际操作性的，得</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分；</w:t>
            </w:r>
          </w:p>
          <w:p w14:paraId="365FFD3D">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（5）未提供的，得0分。</w:t>
            </w:r>
          </w:p>
        </w:tc>
        <w:tc>
          <w:tcPr>
            <w:tcW w:w="486" w:type="pct"/>
            <w:vAlign w:val="center"/>
          </w:tcPr>
          <w:p w14:paraId="1B82CE6D">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10</w:t>
            </w:r>
          </w:p>
        </w:tc>
      </w:tr>
      <w:tr w14:paraId="463F9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 w:hRule="atLeast"/>
        </w:trPr>
        <w:tc>
          <w:tcPr>
            <w:tcW w:w="326" w:type="pct"/>
            <w:vMerge w:val="restart"/>
            <w:noWrap/>
            <w:vAlign w:val="center"/>
          </w:tcPr>
          <w:p w14:paraId="22EF3FBD">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3</w:t>
            </w:r>
          </w:p>
        </w:tc>
        <w:tc>
          <w:tcPr>
            <w:tcW w:w="432" w:type="pct"/>
            <w:vMerge w:val="restart"/>
            <w:noWrap/>
            <w:vAlign w:val="center"/>
          </w:tcPr>
          <w:p w14:paraId="4F6CFC18">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商务评审（30分）</w:t>
            </w:r>
          </w:p>
        </w:tc>
        <w:tc>
          <w:tcPr>
            <w:tcW w:w="448" w:type="pct"/>
            <w:vAlign w:val="center"/>
          </w:tcPr>
          <w:p w14:paraId="230FF4AB">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投标人业绩（6分）</w:t>
            </w:r>
          </w:p>
        </w:tc>
        <w:tc>
          <w:tcPr>
            <w:tcW w:w="3305" w:type="pct"/>
            <w:vAlign w:val="top"/>
          </w:tcPr>
          <w:p w14:paraId="69AC221A">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2023年1月1日以来，投标人具有类似路网运行相关政策</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标准研究或实施情况评估等业绩，每个得2分，本项满分6分。</w:t>
            </w:r>
          </w:p>
          <w:p w14:paraId="5AA3BD89">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（需提供项目合同复印件或中标通知书或由用户单位出具的业绩证明复印件，并加盖投标人公章，未按要求提供不得分）</w:t>
            </w:r>
          </w:p>
        </w:tc>
        <w:tc>
          <w:tcPr>
            <w:tcW w:w="486" w:type="pct"/>
            <w:vAlign w:val="center"/>
          </w:tcPr>
          <w:p w14:paraId="54E091A1">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6</w:t>
            </w:r>
          </w:p>
        </w:tc>
      </w:tr>
      <w:tr w14:paraId="7B030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 w:hRule="atLeast"/>
        </w:trPr>
        <w:tc>
          <w:tcPr>
            <w:tcW w:w="326" w:type="pct"/>
            <w:vMerge w:val="continue"/>
            <w:noWrap/>
            <w:vAlign w:val="center"/>
          </w:tcPr>
          <w:p w14:paraId="119323BF">
            <w:pPr>
              <w:widowControl/>
              <w:spacing w:line="240" w:lineRule="auto"/>
              <w:ind w:firstLine="0" w:firstLineChars="0"/>
              <w:jc w:val="center"/>
              <w:rPr>
                <w:rFonts w:hint="eastAsia" w:ascii="仿宋" w:hAnsi="仿宋" w:eastAsia="仿宋" w:cs="仿宋"/>
                <w:b/>
                <w:bCs/>
                <w:color w:val="auto"/>
                <w:sz w:val="24"/>
                <w:szCs w:val="24"/>
                <w:highlight w:val="none"/>
              </w:rPr>
            </w:pPr>
          </w:p>
        </w:tc>
        <w:tc>
          <w:tcPr>
            <w:tcW w:w="432" w:type="pct"/>
            <w:vMerge w:val="continue"/>
            <w:noWrap/>
            <w:vAlign w:val="center"/>
          </w:tcPr>
          <w:p w14:paraId="54CEFFD2">
            <w:pPr>
              <w:widowControl/>
              <w:spacing w:line="240" w:lineRule="auto"/>
              <w:ind w:firstLine="0" w:firstLineChars="0"/>
              <w:jc w:val="center"/>
              <w:rPr>
                <w:rFonts w:hint="eastAsia" w:ascii="仿宋" w:hAnsi="仿宋" w:eastAsia="仿宋" w:cs="仿宋"/>
                <w:b/>
                <w:bCs/>
                <w:color w:val="auto"/>
                <w:sz w:val="24"/>
                <w:szCs w:val="24"/>
                <w:highlight w:val="none"/>
              </w:rPr>
            </w:pPr>
          </w:p>
        </w:tc>
        <w:tc>
          <w:tcPr>
            <w:tcW w:w="448" w:type="pct"/>
            <w:vAlign w:val="center"/>
          </w:tcPr>
          <w:p w14:paraId="2439064A">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项目负责人（10分）</w:t>
            </w:r>
          </w:p>
        </w:tc>
        <w:tc>
          <w:tcPr>
            <w:tcW w:w="3305" w:type="pct"/>
            <w:vAlign w:val="top"/>
          </w:tcPr>
          <w:p w14:paraId="5B7782E3">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（1）项目负责人具有交通运输相关专业正高级职称得6分，副高级职称得4分，中级职称得2分，本项最高得6分 （需提供其职称、证书复印件）</w:t>
            </w:r>
          </w:p>
          <w:p w14:paraId="0ADD8643">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（2）项目负责人具有类似路网运行相关政策</w:t>
            </w:r>
            <w:r>
              <w:rPr>
                <w:rFonts w:hint="eastAsia" w:ascii="仿宋" w:hAnsi="仿宋" w:eastAsia="仿宋" w:cs="仿宋"/>
                <w:color w:val="auto"/>
                <w:sz w:val="24"/>
                <w:szCs w:val="24"/>
                <w:highlight w:val="none"/>
                <w:lang w:eastAsia="zh-CN"/>
              </w:rPr>
              <w:t>、标准</w:t>
            </w:r>
            <w:r>
              <w:rPr>
                <w:rFonts w:hint="eastAsia" w:ascii="仿宋" w:hAnsi="仿宋" w:eastAsia="仿宋" w:cs="仿宋"/>
                <w:color w:val="auto"/>
                <w:sz w:val="24"/>
                <w:szCs w:val="24"/>
                <w:highlight w:val="none"/>
              </w:rPr>
              <w:t>研究或实施情况评估等项目负责人业绩，每个得1分，本项满分4分。</w:t>
            </w:r>
          </w:p>
          <w:p w14:paraId="7ED6419D">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（需提供项目合同或者委托人出具的履约证明材料，合同或履约证明材料中须明确反映出项目负责人的相关信息，未按要求提供不得分）</w:t>
            </w:r>
          </w:p>
        </w:tc>
        <w:tc>
          <w:tcPr>
            <w:tcW w:w="486" w:type="pct"/>
            <w:vAlign w:val="center"/>
          </w:tcPr>
          <w:p w14:paraId="57F55D24">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10</w:t>
            </w:r>
          </w:p>
        </w:tc>
      </w:tr>
      <w:tr w14:paraId="03F6D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326" w:type="pct"/>
            <w:vMerge w:val="continue"/>
            <w:noWrap/>
            <w:vAlign w:val="center"/>
          </w:tcPr>
          <w:p w14:paraId="3DFBE806">
            <w:pPr>
              <w:widowControl/>
              <w:spacing w:line="240" w:lineRule="auto"/>
              <w:ind w:firstLine="0" w:firstLineChars="0"/>
              <w:jc w:val="center"/>
              <w:rPr>
                <w:rFonts w:hint="eastAsia" w:ascii="仿宋" w:hAnsi="仿宋" w:eastAsia="仿宋" w:cs="仿宋"/>
                <w:b/>
                <w:bCs/>
                <w:color w:val="auto"/>
                <w:sz w:val="24"/>
                <w:szCs w:val="24"/>
                <w:highlight w:val="none"/>
              </w:rPr>
            </w:pPr>
          </w:p>
        </w:tc>
        <w:tc>
          <w:tcPr>
            <w:tcW w:w="432" w:type="pct"/>
            <w:vMerge w:val="continue"/>
            <w:noWrap/>
            <w:vAlign w:val="center"/>
          </w:tcPr>
          <w:p w14:paraId="040115CF">
            <w:pPr>
              <w:widowControl/>
              <w:spacing w:line="240" w:lineRule="auto"/>
              <w:ind w:firstLine="0" w:firstLineChars="0"/>
              <w:jc w:val="center"/>
              <w:rPr>
                <w:rFonts w:hint="eastAsia" w:ascii="仿宋" w:hAnsi="仿宋" w:eastAsia="仿宋" w:cs="仿宋"/>
                <w:b/>
                <w:bCs/>
                <w:color w:val="auto"/>
                <w:sz w:val="24"/>
                <w:szCs w:val="24"/>
                <w:highlight w:val="none"/>
              </w:rPr>
            </w:pPr>
          </w:p>
        </w:tc>
        <w:tc>
          <w:tcPr>
            <w:tcW w:w="448" w:type="pct"/>
            <w:vAlign w:val="center"/>
          </w:tcPr>
          <w:p w14:paraId="38AE61B1">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t>项目成员（14分）</w:t>
            </w:r>
          </w:p>
        </w:tc>
        <w:tc>
          <w:tcPr>
            <w:tcW w:w="3305" w:type="pct"/>
            <w:vAlign w:val="center"/>
          </w:tcPr>
          <w:p w14:paraId="1C105BEF">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根据投标人拟投入的研究人员专业特长、资历、相关工作经验进行评分。</w:t>
            </w:r>
          </w:p>
          <w:p w14:paraId="09E28210">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拟投入人员专业具有交通运输类、交通工程类每一个专业得2分，满分4分；其中（不含项目负责人）具有高级技术职称加2分，注册咨询工程师加2分，最多加6分；本项满分10分；（需提供其职称、证书复印件并加盖投标人公章，未按要求提供不得分）</w:t>
            </w:r>
          </w:p>
          <w:p w14:paraId="57F2699F">
            <w:pPr>
              <w:widowControl/>
              <w:spacing w:line="240" w:lineRule="auto"/>
              <w:ind w:firstLine="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（2）拟投入人员具备类似路网运行相关政策</w:t>
            </w:r>
            <w:r>
              <w:rPr>
                <w:rFonts w:hint="eastAsia" w:ascii="仿宋" w:hAnsi="仿宋" w:eastAsia="仿宋" w:cs="仿宋"/>
                <w:color w:val="auto"/>
                <w:sz w:val="24"/>
                <w:szCs w:val="24"/>
                <w:highlight w:val="none"/>
                <w:lang w:eastAsia="zh-CN"/>
              </w:rPr>
              <w:t>、标准</w:t>
            </w:r>
            <w:r>
              <w:rPr>
                <w:rFonts w:hint="eastAsia" w:ascii="仿宋" w:hAnsi="仿宋" w:eastAsia="仿宋" w:cs="仿宋"/>
                <w:color w:val="auto"/>
                <w:sz w:val="24"/>
                <w:szCs w:val="24"/>
                <w:highlight w:val="none"/>
              </w:rPr>
              <w:t>研究或实施情况评估等业绩有1人得2分，满分4分。</w:t>
            </w:r>
            <w:bookmarkStart w:id="405" w:name="_GoBack"/>
            <w:bookmarkEnd w:id="405"/>
            <w:r>
              <w:rPr>
                <w:rFonts w:hint="eastAsia" w:ascii="仿宋" w:hAnsi="仿宋" w:eastAsia="仿宋" w:cs="仿宋"/>
                <w:color w:val="auto"/>
                <w:sz w:val="24"/>
                <w:szCs w:val="24"/>
                <w:highlight w:val="none"/>
              </w:rPr>
              <w:t>（需提供相关证明材料复印件或真实性承诺书并加盖投标人公章，未按要求提供不得分）</w:t>
            </w:r>
          </w:p>
        </w:tc>
        <w:tc>
          <w:tcPr>
            <w:tcW w:w="486" w:type="pct"/>
            <w:vAlign w:val="center"/>
          </w:tcPr>
          <w:p w14:paraId="161A247F">
            <w:pPr>
              <w:widowControl/>
              <w:spacing w:line="240" w:lineRule="auto"/>
              <w:ind w:firstLine="0" w:firstLineChars="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14</w:t>
            </w:r>
          </w:p>
        </w:tc>
      </w:tr>
    </w:tbl>
    <w:p w14:paraId="78D3010D">
      <w:pPr>
        <w:keepNext w:val="0"/>
        <w:keepLines w:val="0"/>
        <w:pageBreakBefore w:val="0"/>
        <w:kinsoku/>
        <w:wordWrap/>
        <w:overflowPunct/>
        <w:topLinePunct w:val="0"/>
        <w:autoSpaceDE/>
        <w:autoSpaceDN/>
        <w:bidi w:val="0"/>
        <w:adjustRightInd/>
        <w:snapToGrid/>
        <w:spacing w:line="480" w:lineRule="exact"/>
        <w:textAlignment w:val="auto"/>
        <w:rPr>
          <w:rFonts w:hint="eastAsia"/>
          <w:color w:val="auto"/>
          <w:highlight w:val="none"/>
        </w:rPr>
      </w:pPr>
    </w:p>
    <w:p w14:paraId="6668F342">
      <w:pPr>
        <w:bidi w:val="0"/>
        <w:rPr>
          <w:rFonts w:hint="eastAsia"/>
          <w:color w:val="auto"/>
          <w:highlight w:val="none"/>
        </w:rPr>
      </w:pPr>
    </w:p>
    <w:p w14:paraId="00729408">
      <w:pPr>
        <w:bidi w:val="0"/>
        <w:rPr>
          <w:rFonts w:hint="eastAsia"/>
          <w:color w:val="auto"/>
          <w:highlight w:val="none"/>
        </w:rPr>
      </w:pPr>
    </w:p>
    <w:p w14:paraId="580EA72F">
      <w:pPr>
        <w:bidi w:val="0"/>
        <w:rPr>
          <w:rFonts w:hint="eastAsia"/>
          <w:color w:val="auto"/>
          <w:highlight w:val="none"/>
        </w:rPr>
      </w:pPr>
    </w:p>
    <w:p w14:paraId="274A3FF1">
      <w:pPr>
        <w:bidi w:val="0"/>
        <w:rPr>
          <w:rFonts w:hint="eastAsia"/>
          <w:color w:val="auto"/>
          <w:highlight w:val="none"/>
        </w:rPr>
      </w:pPr>
    </w:p>
    <w:p w14:paraId="20A48634">
      <w:pPr>
        <w:bidi w:val="0"/>
        <w:rPr>
          <w:rFonts w:hint="eastAsia"/>
          <w:color w:val="auto"/>
          <w:highlight w:val="none"/>
        </w:rPr>
      </w:pPr>
    </w:p>
    <w:p w14:paraId="34A66169">
      <w:pPr>
        <w:bidi w:val="0"/>
        <w:rPr>
          <w:rFonts w:hint="eastAsia"/>
          <w:color w:val="auto"/>
          <w:highlight w:val="none"/>
        </w:rPr>
      </w:pPr>
    </w:p>
    <w:p w14:paraId="18466F57">
      <w:pPr>
        <w:bidi w:val="0"/>
        <w:rPr>
          <w:rFonts w:hint="eastAsia"/>
          <w:color w:val="auto"/>
          <w:highlight w:val="none"/>
        </w:rPr>
      </w:pPr>
    </w:p>
    <w:p w14:paraId="4BFCEC92">
      <w:pPr>
        <w:bidi w:val="0"/>
        <w:rPr>
          <w:rFonts w:hint="eastAsia"/>
          <w:color w:val="auto"/>
          <w:highlight w:val="none"/>
        </w:rPr>
      </w:pPr>
    </w:p>
    <w:p w14:paraId="4249FEDA">
      <w:pPr>
        <w:bidi w:val="0"/>
        <w:rPr>
          <w:rFonts w:hint="eastAsia"/>
          <w:color w:val="auto"/>
          <w:highlight w:val="none"/>
        </w:rPr>
      </w:pPr>
    </w:p>
    <w:p w14:paraId="091B12AF">
      <w:pPr>
        <w:bidi w:val="0"/>
        <w:rPr>
          <w:rFonts w:hint="eastAsia"/>
          <w:color w:val="auto"/>
          <w:highlight w:val="none"/>
        </w:rPr>
      </w:pPr>
    </w:p>
    <w:p w14:paraId="43E4B02B">
      <w:pPr>
        <w:bidi w:val="0"/>
        <w:rPr>
          <w:rFonts w:hint="eastAsia"/>
          <w:color w:val="auto"/>
          <w:highlight w:val="none"/>
        </w:rPr>
      </w:pPr>
    </w:p>
    <w:p w14:paraId="2E834025">
      <w:pPr>
        <w:bidi w:val="0"/>
        <w:rPr>
          <w:rFonts w:hint="eastAsia"/>
          <w:color w:val="auto"/>
          <w:highlight w:val="none"/>
        </w:rPr>
      </w:pPr>
    </w:p>
    <w:p w14:paraId="5A635913">
      <w:pPr>
        <w:bidi w:val="0"/>
        <w:rPr>
          <w:rFonts w:hint="eastAsia"/>
          <w:color w:val="auto"/>
          <w:highlight w:val="none"/>
        </w:rPr>
      </w:pPr>
    </w:p>
    <w:p w14:paraId="0F7854C1">
      <w:pPr>
        <w:bidi w:val="0"/>
        <w:rPr>
          <w:rFonts w:hint="eastAsia"/>
          <w:color w:val="auto"/>
          <w:highlight w:val="none"/>
        </w:rPr>
      </w:pPr>
    </w:p>
    <w:p w14:paraId="60B28EB3">
      <w:pPr>
        <w:bidi w:val="0"/>
        <w:rPr>
          <w:rFonts w:hint="eastAsia"/>
          <w:color w:val="auto"/>
          <w:highlight w:val="none"/>
        </w:rPr>
      </w:pPr>
    </w:p>
    <w:p w14:paraId="13DF5A04">
      <w:pPr>
        <w:bidi w:val="0"/>
        <w:rPr>
          <w:rFonts w:hint="eastAsia"/>
          <w:color w:val="auto"/>
          <w:highlight w:val="none"/>
        </w:rPr>
      </w:pPr>
    </w:p>
    <w:p w14:paraId="4E151D2C">
      <w:pPr>
        <w:pStyle w:val="190"/>
        <w:rPr>
          <w:rFonts w:ascii="仿宋" w:hAnsi="仿宋" w:eastAsia="仿宋" w:cs="仿宋"/>
          <w:b/>
          <w:bCs/>
          <w:color w:val="auto"/>
          <w:sz w:val="40"/>
          <w:szCs w:val="40"/>
          <w:highlight w:val="none"/>
        </w:rPr>
      </w:pPr>
      <w:bookmarkStart w:id="334" w:name="_Toc25268"/>
      <w:r>
        <w:rPr>
          <w:rFonts w:hint="eastAsia" w:ascii="仿宋" w:hAnsi="仿宋" w:eastAsia="仿宋" w:cs="仿宋"/>
          <w:b/>
          <w:bCs/>
          <w:color w:val="auto"/>
          <w:sz w:val="40"/>
          <w:szCs w:val="40"/>
          <w:highlight w:val="none"/>
        </w:rPr>
        <w:t>第六章  投标</w:t>
      </w:r>
      <w:bookmarkEnd w:id="300"/>
      <w:bookmarkEnd w:id="301"/>
      <w:bookmarkEnd w:id="302"/>
      <w:r>
        <w:rPr>
          <w:rFonts w:hint="eastAsia" w:ascii="仿宋" w:hAnsi="仿宋" w:eastAsia="仿宋" w:cs="仿宋"/>
          <w:b/>
          <w:bCs/>
          <w:color w:val="auto"/>
          <w:sz w:val="40"/>
          <w:szCs w:val="40"/>
          <w:highlight w:val="none"/>
        </w:rPr>
        <w:t>文件格式</w:t>
      </w:r>
      <w:bookmarkEnd w:id="329"/>
      <w:bookmarkEnd w:id="334"/>
    </w:p>
    <w:p w14:paraId="51C5518B">
      <w:pPr>
        <w:jc w:val="center"/>
        <w:rPr>
          <w:rFonts w:ascii="仿宋" w:hAnsi="仿宋" w:eastAsia="仿宋" w:cs="仿宋"/>
          <w:b/>
          <w:color w:val="auto"/>
          <w:sz w:val="72"/>
          <w:highlight w:val="none"/>
        </w:rPr>
      </w:pPr>
      <w:bookmarkStart w:id="335" w:name="_Hlt26671244"/>
      <w:bookmarkEnd w:id="335"/>
      <w:bookmarkStart w:id="336" w:name="_Hlt26955039"/>
      <w:bookmarkEnd w:id="336"/>
      <w:bookmarkStart w:id="337" w:name="_Toc26554094"/>
      <w:bookmarkStart w:id="338" w:name="_Toc49090576"/>
      <w:bookmarkStart w:id="339" w:name="_Toc120614282"/>
    </w:p>
    <w:p w14:paraId="57F7DAAA">
      <w:pPr>
        <w:jc w:val="center"/>
        <w:rPr>
          <w:rFonts w:ascii="仿宋" w:hAnsi="仿宋" w:eastAsia="仿宋" w:cs="仿宋"/>
          <w:b/>
          <w:color w:val="auto"/>
          <w:sz w:val="72"/>
          <w:highlight w:val="none"/>
        </w:rPr>
      </w:pPr>
      <w:r>
        <w:rPr>
          <w:rFonts w:hint="eastAsia" w:ascii="仿宋" w:hAnsi="仿宋" w:eastAsia="仿宋" w:cs="仿宋"/>
          <w:b/>
          <w:color w:val="auto"/>
          <w:sz w:val="72"/>
          <w:highlight w:val="none"/>
        </w:rPr>
        <w:t>投  标  文  件</w:t>
      </w:r>
    </w:p>
    <w:p w14:paraId="56CC93D7">
      <w:pPr>
        <w:jc w:val="center"/>
        <w:rPr>
          <w:rFonts w:ascii="仿宋" w:hAnsi="仿宋" w:eastAsia="仿宋" w:cs="仿宋"/>
          <w:b/>
          <w:color w:val="auto"/>
          <w:sz w:val="72"/>
          <w:highlight w:val="none"/>
        </w:rPr>
      </w:pPr>
    </w:p>
    <w:p w14:paraId="3C9104E5">
      <w:pPr>
        <w:jc w:val="center"/>
        <w:rPr>
          <w:rFonts w:ascii="仿宋" w:hAnsi="仿宋" w:eastAsia="仿宋" w:cs="仿宋"/>
          <w:b/>
          <w:color w:val="auto"/>
          <w:sz w:val="56"/>
          <w:szCs w:val="20"/>
          <w:highlight w:val="none"/>
        </w:rPr>
      </w:pPr>
      <w:r>
        <w:rPr>
          <w:rFonts w:hint="eastAsia" w:ascii="仿宋" w:hAnsi="仿宋" w:eastAsia="仿宋" w:cs="仿宋"/>
          <w:b/>
          <w:color w:val="auto"/>
          <w:sz w:val="56"/>
          <w:szCs w:val="20"/>
          <w:highlight w:val="none"/>
        </w:rPr>
        <w:t>【正/副本】</w:t>
      </w:r>
    </w:p>
    <w:p w14:paraId="7DBF93F2">
      <w:pPr>
        <w:jc w:val="center"/>
        <w:rPr>
          <w:rFonts w:ascii="仿宋" w:hAnsi="仿宋" w:eastAsia="仿宋" w:cs="仿宋"/>
          <w:b/>
          <w:color w:val="auto"/>
          <w:sz w:val="36"/>
          <w:highlight w:val="none"/>
        </w:rPr>
      </w:pPr>
    </w:p>
    <w:p w14:paraId="51EBBFD3">
      <w:pPr>
        <w:jc w:val="center"/>
        <w:rPr>
          <w:rFonts w:ascii="仿宋" w:hAnsi="仿宋" w:eastAsia="仿宋" w:cs="仿宋"/>
          <w:b/>
          <w:color w:val="auto"/>
          <w:sz w:val="36"/>
          <w:highlight w:val="none"/>
        </w:rPr>
      </w:pPr>
    </w:p>
    <w:p w14:paraId="2DC48CA0">
      <w:pPr>
        <w:jc w:val="center"/>
        <w:rPr>
          <w:rFonts w:ascii="仿宋" w:hAnsi="仿宋" w:eastAsia="仿宋" w:cs="仿宋"/>
          <w:b/>
          <w:color w:val="auto"/>
          <w:sz w:val="36"/>
          <w:highlight w:val="none"/>
        </w:rPr>
      </w:pPr>
    </w:p>
    <w:p w14:paraId="76498F7E">
      <w:pPr>
        <w:spacing w:line="530" w:lineRule="exact"/>
        <w:ind w:firstLine="1083"/>
        <w:rPr>
          <w:rFonts w:ascii="仿宋" w:hAnsi="仿宋" w:eastAsia="仿宋" w:cs="仿宋"/>
          <w:b/>
          <w:color w:val="auto"/>
          <w:sz w:val="36"/>
          <w:highlight w:val="none"/>
        </w:rPr>
      </w:pPr>
      <w:r>
        <w:rPr>
          <w:rFonts w:hint="eastAsia" w:ascii="仿宋" w:hAnsi="仿宋" w:eastAsia="仿宋" w:cs="仿宋"/>
          <w:b/>
          <w:color w:val="auto"/>
          <w:sz w:val="36"/>
          <w:highlight w:val="none"/>
        </w:rPr>
        <w:t>项 目 名 称：</w:t>
      </w:r>
      <w:r>
        <w:rPr>
          <w:rFonts w:hint="eastAsia" w:ascii="仿宋" w:hAnsi="仿宋" w:eastAsia="仿宋" w:cs="仿宋"/>
          <w:b/>
          <w:color w:val="auto"/>
          <w:sz w:val="36"/>
          <w:highlight w:val="none"/>
          <w:u w:val="single"/>
        </w:rPr>
        <w:t xml:space="preserve">               </w:t>
      </w:r>
    </w:p>
    <w:p w14:paraId="1D525B4B">
      <w:pPr>
        <w:spacing w:line="530" w:lineRule="exact"/>
        <w:ind w:firstLine="1083"/>
        <w:rPr>
          <w:rFonts w:ascii="仿宋" w:hAnsi="仿宋" w:eastAsia="仿宋" w:cs="仿宋"/>
          <w:b/>
          <w:color w:val="auto"/>
          <w:sz w:val="36"/>
          <w:highlight w:val="none"/>
        </w:rPr>
      </w:pPr>
      <w:r>
        <w:rPr>
          <w:rFonts w:hint="eastAsia" w:ascii="仿宋" w:hAnsi="仿宋" w:eastAsia="仿宋" w:cs="仿宋"/>
          <w:b/>
          <w:color w:val="auto"/>
          <w:sz w:val="36"/>
          <w:highlight w:val="none"/>
        </w:rPr>
        <w:t>招 标 编 号：</w:t>
      </w:r>
      <w:r>
        <w:rPr>
          <w:rFonts w:hint="eastAsia" w:ascii="仿宋" w:hAnsi="仿宋" w:eastAsia="仿宋" w:cs="仿宋"/>
          <w:b/>
          <w:color w:val="auto"/>
          <w:sz w:val="36"/>
          <w:highlight w:val="none"/>
          <w:u w:val="single"/>
        </w:rPr>
        <w:t xml:space="preserve">               </w:t>
      </w:r>
    </w:p>
    <w:p w14:paraId="4A7EA4DC">
      <w:pPr>
        <w:spacing w:line="530" w:lineRule="exact"/>
        <w:ind w:firstLine="1083"/>
        <w:rPr>
          <w:rFonts w:ascii="仿宋" w:hAnsi="仿宋" w:eastAsia="仿宋" w:cs="仿宋"/>
          <w:b/>
          <w:color w:val="auto"/>
          <w:sz w:val="36"/>
          <w:highlight w:val="none"/>
          <w:u w:val="single"/>
        </w:rPr>
      </w:pPr>
      <w:bookmarkStart w:id="340" w:name="_Toc26914"/>
      <w:r>
        <w:rPr>
          <w:rFonts w:hint="eastAsia" w:ascii="仿宋" w:hAnsi="仿宋" w:eastAsia="仿宋" w:cs="仿宋"/>
          <w:b/>
          <w:color w:val="auto"/>
          <w:sz w:val="36"/>
          <w:highlight w:val="none"/>
        </w:rPr>
        <w:t>投标人名称 ：</w:t>
      </w:r>
      <w:bookmarkEnd w:id="340"/>
      <w:r>
        <w:rPr>
          <w:rFonts w:hint="eastAsia" w:ascii="仿宋" w:hAnsi="仿宋" w:eastAsia="仿宋" w:cs="仿宋"/>
          <w:b/>
          <w:color w:val="auto"/>
          <w:sz w:val="36"/>
          <w:highlight w:val="none"/>
          <w:u w:val="single"/>
        </w:rPr>
        <w:t xml:space="preserve">               </w:t>
      </w:r>
    </w:p>
    <w:p w14:paraId="62AD0446">
      <w:pPr>
        <w:spacing w:line="530" w:lineRule="exact"/>
        <w:ind w:firstLine="1083"/>
        <w:rPr>
          <w:rFonts w:ascii="仿宋" w:hAnsi="仿宋" w:eastAsia="仿宋" w:cs="仿宋"/>
          <w:b/>
          <w:color w:val="auto"/>
          <w:sz w:val="36"/>
          <w:highlight w:val="none"/>
        </w:rPr>
      </w:pPr>
      <w:r>
        <w:rPr>
          <w:rFonts w:hint="eastAsia" w:ascii="仿宋" w:hAnsi="仿宋" w:eastAsia="仿宋" w:cs="仿宋"/>
          <w:b/>
          <w:color w:val="auto"/>
          <w:sz w:val="36"/>
          <w:highlight w:val="none"/>
        </w:rPr>
        <w:t>授权代表签字：</w:t>
      </w:r>
      <w:r>
        <w:rPr>
          <w:rFonts w:hint="eastAsia" w:ascii="仿宋" w:hAnsi="仿宋" w:eastAsia="仿宋" w:cs="仿宋"/>
          <w:b/>
          <w:color w:val="auto"/>
          <w:sz w:val="36"/>
          <w:highlight w:val="none"/>
          <w:u w:val="single"/>
        </w:rPr>
        <w:t xml:space="preserve">              </w:t>
      </w:r>
    </w:p>
    <w:p w14:paraId="632446E0">
      <w:pPr>
        <w:spacing w:line="530" w:lineRule="exact"/>
        <w:ind w:firstLine="1083"/>
        <w:rPr>
          <w:rFonts w:ascii="仿宋" w:hAnsi="仿宋" w:eastAsia="仿宋" w:cs="仿宋"/>
          <w:color w:val="auto"/>
          <w:highlight w:val="none"/>
        </w:rPr>
      </w:pPr>
      <w:r>
        <w:rPr>
          <w:rFonts w:hint="eastAsia" w:ascii="仿宋" w:hAnsi="仿宋" w:eastAsia="仿宋" w:cs="仿宋"/>
          <w:b/>
          <w:color w:val="auto"/>
          <w:sz w:val="36"/>
          <w:highlight w:val="none"/>
        </w:rPr>
        <w:t>日      期 ：</w:t>
      </w:r>
      <w:r>
        <w:rPr>
          <w:rFonts w:hint="eastAsia" w:ascii="仿宋" w:hAnsi="仿宋" w:eastAsia="仿宋" w:cs="仿宋"/>
          <w:b/>
          <w:color w:val="auto"/>
          <w:sz w:val="36"/>
          <w:highlight w:val="none"/>
          <w:u w:val="single"/>
        </w:rPr>
        <w:t xml:space="preserve">               </w:t>
      </w:r>
    </w:p>
    <w:p w14:paraId="4DF94B81">
      <w:pPr>
        <w:spacing w:line="440" w:lineRule="exact"/>
        <w:jc w:val="center"/>
        <w:rPr>
          <w:rFonts w:ascii="仿宋" w:hAnsi="仿宋" w:eastAsia="仿宋" w:cs="仿宋"/>
          <w:color w:val="auto"/>
          <w:highlight w:val="none"/>
        </w:rPr>
      </w:pPr>
      <w:r>
        <w:rPr>
          <w:rFonts w:hint="eastAsia" w:ascii="仿宋" w:hAnsi="仿宋" w:eastAsia="仿宋" w:cs="仿宋"/>
          <w:b/>
          <w:color w:val="auto"/>
          <w:sz w:val="36"/>
          <w:highlight w:val="none"/>
          <w:u w:val="single"/>
        </w:rPr>
        <w:br w:type="page" w:clear="all"/>
      </w:r>
      <w:r>
        <w:rPr>
          <w:rFonts w:hint="eastAsia" w:ascii="仿宋" w:hAnsi="仿宋" w:eastAsia="仿宋" w:cs="仿宋"/>
          <w:color w:val="auto"/>
          <w:highlight w:val="none"/>
        </w:rPr>
        <w:t>（注：投标人应根据附件顺序编制投标文件并制作目录（须生成页码））</w:t>
      </w:r>
    </w:p>
    <w:p w14:paraId="16EE1BED">
      <w:pPr>
        <w:spacing w:line="440" w:lineRule="exact"/>
        <w:jc w:val="center"/>
        <w:rPr>
          <w:rFonts w:ascii="仿宋" w:hAnsi="仿宋" w:eastAsia="仿宋" w:cs="仿宋"/>
          <w:b/>
          <w:color w:val="auto"/>
          <w:highlight w:val="none"/>
        </w:rPr>
      </w:pPr>
      <w:r>
        <w:rPr>
          <w:rFonts w:hint="eastAsia" w:ascii="仿宋" w:hAnsi="仿宋" w:eastAsia="仿宋" w:cs="仿宋"/>
          <w:b/>
          <w:color w:val="auto"/>
          <w:highlight w:val="none"/>
        </w:rPr>
        <w:t>资格审查索引表</w:t>
      </w:r>
    </w:p>
    <w:tbl>
      <w:tblPr>
        <w:tblStyle w:val="33"/>
        <w:tblW w:w="489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53"/>
        <w:gridCol w:w="5523"/>
        <w:gridCol w:w="3169"/>
      </w:tblGrid>
      <w:tr w14:paraId="669F0B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1" w:hRule="atLeast"/>
          <w:jc w:val="center"/>
        </w:trPr>
        <w:tc>
          <w:tcPr>
            <w:tcW w:w="1053" w:type="dxa"/>
            <w:vAlign w:val="center"/>
          </w:tcPr>
          <w:p w14:paraId="7582EA97">
            <w:pPr>
              <w:jc w:val="center"/>
              <w:rPr>
                <w:rFonts w:ascii="仿宋" w:hAnsi="仿宋" w:eastAsia="仿宋" w:cs="仿宋"/>
                <w:color w:val="auto"/>
                <w:highlight w:val="none"/>
              </w:rPr>
            </w:pPr>
            <w:r>
              <w:rPr>
                <w:rFonts w:hint="eastAsia" w:ascii="仿宋" w:hAnsi="仿宋" w:eastAsia="仿宋" w:cs="仿宋"/>
                <w:color w:val="auto"/>
                <w:highlight w:val="none"/>
              </w:rPr>
              <w:t>序号</w:t>
            </w:r>
          </w:p>
        </w:tc>
        <w:tc>
          <w:tcPr>
            <w:tcW w:w="5524" w:type="dxa"/>
            <w:vAlign w:val="center"/>
          </w:tcPr>
          <w:p w14:paraId="0A4D1098">
            <w:pPr>
              <w:jc w:val="center"/>
              <w:rPr>
                <w:rFonts w:ascii="仿宋" w:hAnsi="仿宋" w:eastAsia="仿宋" w:cs="仿宋"/>
                <w:color w:val="auto"/>
                <w:highlight w:val="none"/>
              </w:rPr>
            </w:pPr>
            <w:r>
              <w:rPr>
                <w:rFonts w:hint="eastAsia" w:ascii="仿宋" w:hAnsi="仿宋" w:eastAsia="仿宋" w:cs="仿宋"/>
                <w:color w:val="auto"/>
                <w:highlight w:val="none"/>
              </w:rPr>
              <w:t>资格要求</w:t>
            </w:r>
          </w:p>
        </w:tc>
        <w:tc>
          <w:tcPr>
            <w:tcW w:w="3169" w:type="dxa"/>
            <w:vAlign w:val="center"/>
          </w:tcPr>
          <w:p w14:paraId="1F4DF113">
            <w:pPr>
              <w:jc w:val="center"/>
              <w:rPr>
                <w:rFonts w:ascii="仿宋" w:hAnsi="仿宋" w:eastAsia="仿宋" w:cs="仿宋"/>
                <w:color w:val="auto"/>
                <w:highlight w:val="none"/>
              </w:rPr>
            </w:pPr>
            <w:r>
              <w:rPr>
                <w:rFonts w:hint="eastAsia" w:ascii="仿宋" w:hAnsi="仿宋" w:eastAsia="仿宋" w:cs="仿宋"/>
                <w:color w:val="auto"/>
                <w:highlight w:val="none"/>
              </w:rPr>
              <w:t>在投标文件中的页码位置</w:t>
            </w:r>
          </w:p>
        </w:tc>
      </w:tr>
      <w:tr w14:paraId="76016C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3" w:hRule="atLeast"/>
          <w:jc w:val="center"/>
        </w:trPr>
        <w:tc>
          <w:tcPr>
            <w:tcW w:w="1053" w:type="dxa"/>
            <w:vAlign w:val="center"/>
          </w:tcPr>
          <w:p w14:paraId="7E5FB6E3">
            <w:pPr>
              <w:spacing w:line="276" w:lineRule="auto"/>
              <w:jc w:val="center"/>
              <w:rPr>
                <w:rFonts w:ascii="仿宋" w:hAnsi="仿宋" w:eastAsia="仿宋" w:cs="仿宋"/>
                <w:color w:val="auto"/>
                <w:highlight w:val="none"/>
              </w:rPr>
            </w:pPr>
            <w:r>
              <w:rPr>
                <w:rFonts w:hint="eastAsia" w:ascii="仿宋" w:hAnsi="仿宋" w:eastAsia="仿宋" w:cs="仿宋"/>
                <w:color w:val="auto"/>
                <w:highlight w:val="none"/>
              </w:rPr>
              <w:t>1</w:t>
            </w:r>
          </w:p>
        </w:tc>
        <w:tc>
          <w:tcPr>
            <w:tcW w:w="5524" w:type="dxa"/>
            <w:vAlign w:val="center"/>
          </w:tcPr>
          <w:p w14:paraId="5E1BC773">
            <w:pPr>
              <w:spacing w:line="276" w:lineRule="auto"/>
              <w:rPr>
                <w:rFonts w:ascii="仿宋" w:hAnsi="仿宋" w:eastAsia="仿宋" w:cs="仿宋"/>
                <w:color w:val="auto"/>
                <w:highlight w:val="none"/>
              </w:rPr>
            </w:pPr>
          </w:p>
        </w:tc>
        <w:tc>
          <w:tcPr>
            <w:tcW w:w="3169" w:type="dxa"/>
          </w:tcPr>
          <w:p w14:paraId="4961F52D">
            <w:pPr>
              <w:rPr>
                <w:rFonts w:ascii="仿宋" w:hAnsi="仿宋" w:eastAsia="仿宋" w:cs="仿宋"/>
                <w:color w:val="auto"/>
                <w:highlight w:val="none"/>
              </w:rPr>
            </w:pPr>
          </w:p>
        </w:tc>
      </w:tr>
      <w:tr w14:paraId="0BCFF3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3" w:hRule="atLeast"/>
          <w:jc w:val="center"/>
        </w:trPr>
        <w:tc>
          <w:tcPr>
            <w:tcW w:w="1053" w:type="dxa"/>
            <w:vAlign w:val="center"/>
          </w:tcPr>
          <w:p w14:paraId="412AD5F0">
            <w:pPr>
              <w:spacing w:line="276" w:lineRule="auto"/>
              <w:jc w:val="center"/>
              <w:rPr>
                <w:rFonts w:ascii="仿宋" w:hAnsi="仿宋" w:eastAsia="仿宋" w:cs="仿宋"/>
                <w:color w:val="auto"/>
                <w:highlight w:val="none"/>
              </w:rPr>
            </w:pPr>
            <w:r>
              <w:rPr>
                <w:rFonts w:hint="eastAsia" w:ascii="仿宋" w:hAnsi="仿宋" w:eastAsia="仿宋" w:cs="仿宋"/>
                <w:color w:val="auto"/>
                <w:highlight w:val="none"/>
              </w:rPr>
              <w:t>2</w:t>
            </w:r>
          </w:p>
        </w:tc>
        <w:tc>
          <w:tcPr>
            <w:tcW w:w="5524" w:type="dxa"/>
            <w:vAlign w:val="center"/>
          </w:tcPr>
          <w:p w14:paraId="4EE2E503">
            <w:pPr>
              <w:spacing w:line="276" w:lineRule="auto"/>
              <w:rPr>
                <w:rFonts w:ascii="仿宋" w:hAnsi="仿宋" w:eastAsia="仿宋" w:cs="仿宋"/>
                <w:color w:val="auto"/>
                <w:highlight w:val="none"/>
              </w:rPr>
            </w:pPr>
          </w:p>
        </w:tc>
        <w:tc>
          <w:tcPr>
            <w:tcW w:w="3169" w:type="dxa"/>
          </w:tcPr>
          <w:p w14:paraId="2C8C46C5">
            <w:pPr>
              <w:rPr>
                <w:rFonts w:ascii="仿宋" w:hAnsi="仿宋" w:eastAsia="仿宋" w:cs="仿宋"/>
                <w:color w:val="auto"/>
                <w:highlight w:val="none"/>
              </w:rPr>
            </w:pPr>
          </w:p>
        </w:tc>
      </w:tr>
      <w:tr w14:paraId="46DE1B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3" w:hRule="atLeast"/>
          <w:jc w:val="center"/>
        </w:trPr>
        <w:tc>
          <w:tcPr>
            <w:tcW w:w="1053" w:type="dxa"/>
            <w:vAlign w:val="center"/>
          </w:tcPr>
          <w:p w14:paraId="55D00D62">
            <w:pPr>
              <w:spacing w:line="276" w:lineRule="auto"/>
              <w:jc w:val="center"/>
              <w:rPr>
                <w:rFonts w:ascii="仿宋" w:hAnsi="仿宋" w:eastAsia="仿宋" w:cs="仿宋"/>
                <w:color w:val="auto"/>
                <w:highlight w:val="none"/>
              </w:rPr>
            </w:pPr>
            <w:r>
              <w:rPr>
                <w:rFonts w:hint="eastAsia" w:ascii="仿宋" w:hAnsi="仿宋" w:eastAsia="仿宋" w:cs="仿宋"/>
                <w:color w:val="auto"/>
                <w:highlight w:val="none"/>
              </w:rPr>
              <w:t>3</w:t>
            </w:r>
          </w:p>
        </w:tc>
        <w:tc>
          <w:tcPr>
            <w:tcW w:w="5524" w:type="dxa"/>
            <w:vAlign w:val="center"/>
          </w:tcPr>
          <w:p w14:paraId="67923217">
            <w:pPr>
              <w:spacing w:line="276" w:lineRule="auto"/>
              <w:rPr>
                <w:rFonts w:ascii="仿宋" w:hAnsi="仿宋" w:eastAsia="仿宋" w:cs="仿宋"/>
                <w:color w:val="auto"/>
                <w:highlight w:val="none"/>
              </w:rPr>
            </w:pPr>
          </w:p>
        </w:tc>
        <w:tc>
          <w:tcPr>
            <w:tcW w:w="3169" w:type="dxa"/>
          </w:tcPr>
          <w:p w14:paraId="72408E7A">
            <w:pPr>
              <w:rPr>
                <w:rFonts w:ascii="仿宋" w:hAnsi="仿宋" w:eastAsia="仿宋" w:cs="仿宋"/>
                <w:color w:val="auto"/>
                <w:highlight w:val="none"/>
              </w:rPr>
            </w:pPr>
          </w:p>
        </w:tc>
      </w:tr>
      <w:tr w14:paraId="664DBC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3" w:hRule="atLeast"/>
          <w:jc w:val="center"/>
        </w:trPr>
        <w:tc>
          <w:tcPr>
            <w:tcW w:w="1053" w:type="dxa"/>
            <w:vAlign w:val="center"/>
          </w:tcPr>
          <w:p w14:paraId="1CA7E059">
            <w:pPr>
              <w:spacing w:line="276" w:lineRule="auto"/>
              <w:jc w:val="center"/>
              <w:rPr>
                <w:rFonts w:ascii="仿宋" w:hAnsi="仿宋" w:eastAsia="仿宋" w:cs="仿宋"/>
                <w:color w:val="auto"/>
                <w:highlight w:val="none"/>
              </w:rPr>
            </w:pPr>
            <w:r>
              <w:rPr>
                <w:rFonts w:hint="eastAsia" w:ascii="仿宋" w:hAnsi="仿宋" w:eastAsia="仿宋" w:cs="仿宋"/>
                <w:color w:val="auto"/>
                <w:highlight w:val="none"/>
              </w:rPr>
              <w:t>4</w:t>
            </w:r>
          </w:p>
        </w:tc>
        <w:tc>
          <w:tcPr>
            <w:tcW w:w="5524" w:type="dxa"/>
            <w:vAlign w:val="center"/>
          </w:tcPr>
          <w:p w14:paraId="68055A7A">
            <w:pPr>
              <w:spacing w:line="276" w:lineRule="auto"/>
              <w:rPr>
                <w:rFonts w:ascii="仿宋" w:hAnsi="仿宋" w:eastAsia="仿宋" w:cs="仿宋"/>
                <w:color w:val="auto"/>
                <w:highlight w:val="none"/>
              </w:rPr>
            </w:pPr>
          </w:p>
        </w:tc>
        <w:tc>
          <w:tcPr>
            <w:tcW w:w="3169" w:type="dxa"/>
          </w:tcPr>
          <w:p w14:paraId="685DF2C6">
            <w:pPr>
              <w:rPr>
                <w:rFonts w:ascii="仿宋" w:hAnsi="仿宋" w:eastAsia="仿宋" w:cs="仿宋"/>
                <w:color w:val="auto"/>
                <w:highlight w:val="none"/>
              </w:rPr>
            </w:pPr>
          </w:p>
        </w:tc>
      </w:tr>
      <w:tr w14:paraId="3ED157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3" w:hRule="atLeast"/>
          <w:jc w:val="center"/>
        </w:trPr>
        <w:tc>
          <w:tcPr>
            <w:tcW w:w="1053" w:type="dxa"/>
            <w:vAlign w:val="center"/>
          </w:tcPr>
          <w:p w14:paraId="3EED4FE4">
            <w:pPr>
              <w:spacing w:line="276" w:lineRule="auto"/>
              <w:jc w:val="center"/>
              <w:rPr>
                <w:rFonts w:ascii="仿宋" w:hAnsi="仿宋" w:eastAsia="仿宋" w:cs="仿宋"/>
                <w:color w:val="auto"/>
                <w:highlight w:val="none"/>
              </w:rPr>
            </w:pPr>
            <w:r>
              <w:rPr>
                <w:rFonts w:hint="eastAsia" w:ascii="仿宋" w:hAnsi="仿宋" w:eastAsia="仿宋" w:cs="仿宋"/>
                <w:color w:val="auto"/>
                <w:highlight w:val="none"/>
              </w:rPr>
              <w:t>5</w:t>
            </w:r>
          </w:p>
        </w:tc>
        <w:tc>
          <w:tcPr>
            <w:tcW w:w="5524" w:type="dxa"/>
            <w:vAlign w:val="center"/>
          </w:tcPr>
          <w:p w14:paraId="72162A73">
            <w:pPr>
              <w:spacing w:line="276" w:lineRule="auto"/>
              <w:rPr>
                <w:rFonts w:ascii="仿宋" w:hAnsi="仿宋" w:eastAsia="仿宋" w:cs="仿宋"/>
                <w:color w:val="auto"/>
                <w:highlight w:val="none"/>
              </w:rPr>
            </w:pPr>
          </w:p>
        </w:tc>
        <w:tc>
          <w:tcPr>
            <w:tcW w:w="3169" w:type="dxa"/>
          </w:tcPr>
          <w:p w14:paraId="0E71AF2D">
            <w:pPr>
              <w:rPr>
                <w:rFonts w:ascii="仿宋" w:hAnsi="仿宋" w:eastAsia="仿宋" w:cs="仿宋"/>
                <w:color w:val="auto"/>
                <w:highlight w:val="none"/>
              </w:rPr>
            </w:pPr>
          </w:p>
        </w:tc>
      </w:tr>
      <w:tr w14:paraId="696419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3" w:hRule="atLeast"/>
          <w:jc w:val="center"/>
        </w:trPr>
        <w:tc>
          <w:tcPr>
            <w:tcW w:w="1053" w:type="dxa"/>
            <w:vAlign w:val="center"/>
          </w:tcPr>
          <w:p w14:paraId="199DD426">
            <w:pPr>
              <w:spacing w:line="276" w:lineRule="auto"/>
              <w:jc w:val="center"/>
              <w:rPr>
                <w:rFonts w:ascii="仿宋" w:hAnsi="仿宋" w:eastAsia="仿宋" w:cs="仿宋"/>
                <w:color w:val="auto"/>
                <w:highlight w:val="none"/>
              </w:rPr>
            </w:pPr>
            <w:r>
              <w:rPr>
                <w:rFonts w:hint="eastAsia" w:ascii="仿宋" w:hAnsi="仿宋" w:eastAsia="仿宋" w:cs="仿宋"/>
                <w:color w:val="auto"/>
                <w:highlight w:val="none"/>
              </w:rPr>
              <w:t>6</w:t>
            </w:r>
          </w:p>
        </w:tc>
        <w:tc>
          <w:tcPr>
            <w:tcW w:w="5524" w:type="dxa"/>
            <w:vAlign w:val="center"/>
          </w:tcPr>
          <w:p w14:paraId="4CBA7358">
            <w:pPr>
              <w:spacing w:line="276" w:lineRule="auto"/>
              <w:rPr>
                <w:rFonts w:ascii="仿宋" w:hAnsi="仿宋" w:eastAsia="仿宋" w:cs="仿宋"/>
                <w:color w:val="auto"/>
                <w:highlight w:val="none"/>
              </w:rPr>
            </w:pPr>
          </w:p>
        </w:tc>
        <w:tc>
          <w:tcPr>
            <w:tcW w:w="3169" w:type="dxa"/>
          </w:tcPr>
          <w:p w14:paraId="03DD7D9A">
            <w:pPr>
              <w:rPr>
                <w:rFonts w:ascii="仿宋" w:hAnsi="仿宋" w:eastAsia="仿宋" w:cs="仿宋"/>
                <w:color w:val="auto"/>
                <w:highlight w:val="none"/>
              </w:rPr>
            </w:pPr>
          </w:p>
        </w:tc>
      </w:tr>
      <w:tr w14:paraId="04BE28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3" w:hRule="atLeast"/>
          <w:jc w:val="center"/>
        </w:trPr>
        <w:tc>
          <w:tcPr>
            <w:tcW w:w="1053" w:type="dxa"/>
            <w:vAlign w:val="center"/>
          </w:tcPr>
          <w:p w14:paraId="746C548D">
            <w:pPr>
              <w:spacing w:line="276" w:lineRule="auto"/>
              <w:jc w:val="center"/>
              <w:rPr>
                <w:rFonts w:ascii="仿宋" w:hAnsi="仿宋" w:eastAsia="仿宋" w:cs="仿宋"/>
                <w:color w:val="auto"/>
                <w:highlight w:val="none"/>
              </w:rPr>
            </w:pPr>
            <w:r>
              <w:rPr>
                <w:rFonts w:hint="eastAsia" w:ascii="仿宋" w:hAnsi="仿宋" w:eastAsia="仿宋" w:cs="仿宋"/>
                <w:color w:val="auto"/>
                <w:highlight w:val="none"/>
              </w:rPr>
              <w:t>7</w:t>
            </w:r>
          </w:p>
        </w:tc>
        <w:tc>
          <w:tcPr>
            <w:tcW w:w="5524" w:type="dxa"/>
            <w:vAlign w:val="center"/>
          </w:tcPr>
          <w:p w14:paraId="6B3E1836">
            <w:pPr>
              <w:spacing w:line="276" w:lineRule="auto"/>
              <w:rPr>
                <w:rFonts w:ascii="仿宋" w:hAnsi="仿宋" w:eastAsia="仿宋" w:cs="仿宋"/>
                <w:color w:val="auto"/>
                <w:highlight w:val="none"/>
              </w:rPr>
            </w:pPr>
          </w:p>
        </w:tc>
        <w:tc>
          <w:tcPr>
            <w:tcW w:w="3169" w:type="dxa"/>
          </w:tcPr>
          <w:p w14:paraId="39DDB9D7">
            <w:pPr>
              <w:rPr>
                <w:rFonts w:ascii="仿宋" w:hAnsi="仿宋" w:eastAsia="仿宋" w:cs="仿宋"/>
                <w:color w:val="auto"/>
                <w:highlight w:val="none"/>
              </w:rPr>
            </w:pPr>
          </w:p>
        </w:tc>
      </w:tr>
      <w:tr w14:paraId="3EC517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3" w:hRule="atLeast"/>
          <w:jc w:val="center"/>
        </w:trPr>
        <w:tc>
          <w:tcPr>
            <w:tcW w:w="1053" w:type="dxa"/>
            <w:vAlign w:val="center"/>
          </w:tcPr>
          <w:p w14:paraId="5241A058">
            <w:pPr>
              <w:spacing w:line="276" w:lineRule="auto"/>
              <w:jc w:val="center"/>
              <w:rPr>
                <w:rFonts w:ascii="仿宋" w:hAnsi="仿宋" w:eastAsia="仿宋" w:cs="仿宋"/>
                <w:color w:val="auto"/>
                <w:highlight w:val="none"/>
              </w:rPr>
            </w:pPr>
            <w:r>
              <w:rPr>
                <w:rFonts w:hint="eastAsia" w:ascii="仿宋" w:hAnsi="仿宋" w:eastAsia="仿宋" w:cs="仿宋"/>
                <w:color w:val="auto"/>
                <w:highlight w:val="none"/>
              </w:rPr>
              <w:t>8</w:t>
            </w:r>
          </w:p>
        </w:tc>
        <w:tc>
          <w:tcPr>
            <w:tcW w:w="5524" w:type="dxa"/>
            <w:vAlign w:val="center"/>
          </w:tcPr>
          <w:p w14:paraId="652FBF80">
            <w:pPr>
              <w:spacing w:line="276" w:lineRule="auto"/>
              <w:rPr>
                <w:rFonts w:ascii="仿宋" w:hAnsi="仿宋" w:eastAsia="仿宋" w:cs="仿宋"/>
                <w:color w:val="auto"/>
                <w:highlight w:val="none"/>
              </w:rPr>
            </w:pPr>
          </w:p>
        </w:tc>
        <w:tc>
          <w:tcPr>
            <w:tcW w:w="3169" w:type="dxa"/>
          </w:tcPr>
          <w:p w14:paraId="602CB9DD">
            <w:pPr>
              <w:rPr>
                <w:rFonts w:ascii="仿宋" w:hAnsi="仿宋" w:eastAsia="仿宋" w:cs="仿宋"/>
                <w:color w:val="auto"/>
                <w:highlight w:val="none"/>
              </w:rPr>
            </w:pPr>
          </w:p>
        </w:tc>
      </w:tr>
      <w:tr w14:paraId="7F2512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3" w:hRule="atLeast"/>
          <w:jc w:val="center"/>
        </w:trPr>
        <w:tc>
          <w:tcPr>
            <w:tcW w:w="1053" w:type="dxa"/>
            <w:vAlign w:val="center"/>
          </w:tcPr>
          <w:p w14:paraId="5938513D">
            <w:pPr>
              <w:spacing w:line="276" w:lineRule="auto"/>
              <w:jc w:val="center"/>
              <w:rPr>
                <w:rFonts w:ascii="仿宋" w:hAnsi="仿宋" w:eastAsia="仿宋" w:cs="仿宋"/>
                <w:color w:val="auto"/>
                <w:highlight w:val="none"/>
              </w:rPr>
            </w:pPr>
            <w:r>
              <w:rPr>
                <w:rFonts w:hint="eastAsia" w:ascii="仿宋" w:hAnsi="仿宋" w:eastAsia="仿宋" w:cs="仿宋"/>
                <w:color w:val="auto"/>
                <w:highlight w:val="none"/>
              </w:rPr>
              <w:t>9</w:t>
            </w:r>
          </w:p>
        </w:tc>
        <w:tc>
          <w:tcPr>
            <w:tcW w:w="5524" w:type="dxa"/>
            <w:vAlign w:val="center"/>
          </w:tcPr>
          <w:p w14:paraId="3196DF38">
            <w:pPr>
              <w:spacing w:line="276" w:lineRule="auto"/>
              <w:rPr>
                <w:rFonts w:ascii="仿宋" w:hAnsi="仿宋" w:eastAsia="仿宋" w:cs="仿宋"/>
                <w:color w:val="auto"/>
                <w:highlight w:val="none"/>
              </w:rPr>
            </w:pPr>
          </w:p>
        </w:tc>
        <w:tc>
          <w:tcPr>
            <w:tcW w:w="3169" w:type="dxa"/>
          </w:tcPr>
          <w:p w14:paraId="29A4DE11">
            <w:pPr>
              <w:rPr>
                <w:rFonts w:ascii="仿宋" w:hAnsi="仿宋" w:eastAsia="仿宋" w:cs="仿宋"/>
                <w:color w:val="auto"/>
                <w:highlight w:val="none"/>
              </w:rPr>
            </w:pPr>
          </w:p>
        </w:tc>
      </w:tr>
      <w:tr w14:paraId="4AE3F6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3" w:hRule="atLeast"/>
          <w:jc w:val="center"/>
        </w:trPr>
        <w:tc>
          <w:tcPr>
            <w:tcW w:w="1053" w:type="dxa"/>
            <w:vAlign w:val="center"/>
          </w:tcPr>
          <w:p w14:paraId="268FB776">
            <w:pPr>
              <w:spacing w:line="276" w:lineRule="auto"/>
              <w:jc w:val="center"/>
              <w:rPr>
                <w:rFonts w:ascii="仿宋" w:hAnsi="仿宋" w:eastAsia="仿宋" w:cs="仿宋"/>
                <w:color w:val="auto"/>
                <w:highlight w:val="none"/>
              </w:rPr>
            </w:pPr>
            <w:r>
              <w:rPr>
                <w:rFonts w:hint="eastAsia" w:ascii="仿宋" w:hAnsi="仿宋" w:eastAsia="仿宋" w:cs="仿宋"/>
                <w:color w:val="auto"/>
                <w:highlight w:val="none"/>
              </w:rPr>
              <w:t>10</w:t>
            </w:r>
          </w:p>
        </w:tc>
        <w:tc>
          <w:tcPr>
            <w:tcW w:w="5524" w:type="dxa"/>
            <w:vAlign w:val="center"/>
          </w:tcPr>
          <w:p w14:paraId="25AC90A1">
            <w:pPr>
              <w:spacing w:line="276" w:lineRule="auto"/>
              <w:rPr>
                <w:rFonts w:ascii="仿宋" w:hAnsi="仿宋" w:eastAsia="仿宋" w:cs="仿宋"/>
                <w:color w:val="auto"/>
                <w:highlight w:val="none"/>
              </w:rPr>
            </w:pPr>
          </w:p>
        </w:tc>
        <w:tc>
          <w:tcPr>
            <w:tcW w:w="3169" w:type="dxa"/>
          </w:tcPr>
          <w:p w14:paraId="1B378C18">
            <w:pPr>
              <w:rPr>
                <w:rFonts w:ascii="仿宋" w:hAnsi="仿宋" w:eastAsia="仿宋" w:cs="仿宋"/>
                <w:color w:val="auto"/>
                <w:highlight w:val="none"/>
              </w:rPr>
            </w:pPr>
          </w:p>
        </w:tc>
      </w:tr>
      <w:tr w14:paraId="39A2C2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3" w:hRule="atLeast"/>
          <w:jc w:val="center"/>
        </w:trPr>
        <w:tc>
          <w:tcPr>
            <w:tcW w:w="1053" w:type="dxa"/>
            <w:vAlign w:val="center"/>
          </w:tcPr>
          <w:p w14:paraId="5EF79732">
            <w:pPr>
              <w:spacing w:line="276" w:lineRule="auto"/>
              <w:jc w:val="center"/>
              <w:rPr>
                <w:rFonts w:ascii="仿宋" w:hAnsi="仿宋" w:eastAsia="仿宋" w:cs="仿宋"/>
                <w:color w:val="auto"/>
                <w:highlight w:val="none"/>
              </w:rPr>
            </w:pPr>
          </w:p>
        </w:tc>
        <w:tc>
          <w:tcPr>
            <w:tcW w:w="5524" w:type="dxa"/>
            <w:vAlign w:val="center"/>
          </w:tcPr>
          <w:p w14:paraId="25D7AF4E">
            <w:pPr>
              <w:spacing w:line="276" w:lineRule="auto"/>
              <w:rPr>
                <w:rFonts w:ascii="仿宋" w:hAnsi="仿宋" w:eastAsia="仿宋" w:cs="仿宋"/>
                <w:color w:val="auto"/>
                <w:highlight w:val="none"/>
              </w:rPr>
            </w:pPr>
          </w:p>
        </w:tc>
        <w:tc>
          <w:tcPr>
            <w:tcW w:w="3169" w:type="dxa"/>
          </w:tcPr>
          <w:p w14:paraId="652EAC22">
            <w:pPr>
              <w:rPr>
                <w:rFonts w:ascii="仿宋" w:hAnsi="仿宋" w:eastAsia="仿宋" w:cs="仿宋"/>
                <w:color w:val="auto"/>
                <w:highlight w:val="none"/>
              </w:rPr>
            </w:pPr>
          </w:p>
        </w:tc>
      </w:tr>
    </w:tbl>
    <w:p w14:paraId="2FB00876">
      <w:pPr>
        <w:rPr>
          <w:rFonts w:ascii="仿宋" w:hAnsi="仿宋" w:eastAsia="仿宋" w:cs="仿宋"/>
          <w:color w:val="auto"/>
          <w:highlight w:val="none"/>
        </w:rPr>
      </w:pPr>
      <w:r>
        <w:rPr>
          <w:rFonts w:hint="eastAsia" w:ascii="仿宋" w:hAnsi="仿宋" w:eastAsia="仿宋" w:cs="仿宋"/>
          <w:color w:val="auto"/>
          <w:highlight w:val="none"/>
        </w:rPr>
        <w:t>注：此表为表样，行数可自行添加，但表式不变。</w:t>
      </w:r>
    </w:p>
    <w:p w14:paraId="3232774F">
      <w:pPr>
        <w:spacing w:line="440" w:lineRule="exact"/>
        <w:jc w:val="center"/>
        <w:rPr>
          <w:rFonts w:ascii="仿宋" w:hAnsi="仿宋" w:eastAsia="仿宋" w:cs="仿宋"/>
          <w:b/>
          <w:color w:val="auto"/>
          <w:highlight w:val="none"/>
        </w:rPr>
      </w:pPr>
      <w:r>
        <w:rPr>
          <w:rFonts w:hint="eastAsia" w:ascii="仿宋" w:hAnsi="仿宋" w:eastAsia="仿宋" w:cs="仿宋"/>
          <w:b/>
          <w:color w:val="auto"/>
          <w:highlight w:val="none"/>
        </w:rPr>
        <w:t>评分索引表</w:t>
      </w:r>
    </w:p>
    <w:tbl>
      <w:tblPr>
        <w:tblStyle w:val="33"/>
        <w:tblW w:w="503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2"/>
        <w:gridCol w:w="5820"/>
        <w:gridCol w:w="3384"/>
      </w:tblGrid>
      <w:tr w14:paraId="430E92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4" w:hRule="atLeast"/>
          <w:jc w:val="center"/>
        </w:trPr>
        <w:tc>
          <w:tcPr>
            <w:tcW w:w="759" w:type="dxa"/>
            <w:vAlign w:val="center"/>
          </w:tcPr>
          <w:p w14:paraId="16BF2259">
            <w:pPr>
              <w:jc w:val="center"/>
              <w:rPr>
                <w:rFonts w:ascii="仿宋" w:hAnsi="仿宋" w:eastAsia="仿宋" w:cs="仿宋"/>
                <w:color w:val="auto"/>
                <w:highlight w:val="none"/>
              </w:rPr>
            </w:pPr>
            <w:r>
              <w:rPr>
                <w:rFonts w:hint="eastAsia" w:ascii="仿宋" w:hAnsi="仿宋" w:eastAsia="仿宋" w:cs="仿宋"/>
                <w:color w:val="auto"/>
                <w:highlight w:val="none"/>
              </w:rPr>
              <w:t>序号</w:t>
            </w:r>
          </w:p>
        </w:tc>
        <w:tc>
          <w:tcPr>
            <w:tcW w:w="5307" w:type="dxa"/>
            <w:vAlign w:val="center"/>
          </w:tcPr>
          <w:p w14:paraId="268B1897">
            <w:pPr>
              <w:jc w:val="center"/>
              <w:rPr>
                <w:rFonts w:ascii="仿宋" w:hAnsi="仿宋" w:eastAsia="仿宋" w:cs="仿宋"/>
                <w:color w:val="auto"/>
                <w:highlight w:val="none"/>
              </w:rPr>
            </w:pPr>
            <w:r>
              <w:rPr>
                <w:rFonts w:hint="eastAsia" w:ascii="仿宋" w:hAnsi="仿宋" w:eastAsia="仿宋" w:cs="仿宋"/>
                <w:color w:val="auto"/>
                <w:highlight w:val="none"/>
              </w:rPr>
              <w:t>评审标准</w:t>
            </w:r>
          </w:p>
        </w:tc>
        <w:tc>
          <w:tcPr>
            <w:tcW w:w="3085" w:type="dxa"/>
            <w:vAlign w:val="center"/>
          </w:tcPr>
          <w:p w14:paraId="63BEE392">
            <w:pPr>
              <w:jc w:val="center"/>
              <w:rPr>
                <w:rFonts w:ascii="仿宋" w:hAnsi="仿宋" w:eastAsia="仿宋" w:cs="仿宋"/>
                <w:color w:val="auto"/>
                <w:highlight w:val="none"/>
              </w:rPr>
            </w:pPr>
            <w:r>
              <w:rPr>
                <w:rFonts w:hint="eastAsia" w:ascii="仿宋" w:hAnsi="仿宋" w:eastAsia="仿宋" w:cs="仿宋"/>
                <w:color w:val="auto"/>
                <w:highlight w:val="none"/>
              </w:rPr>
              <w:t>在投标文件中的页码位置</w:t>
            </w:r>
          </w:p>
        </w:tc>
      </w:tr>
      <w:tr w14:paraId="20F58B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jc w:val="center"/>
        </w:trPr>
        <w:tc>
          <w:tcPr>
            <w:tcW w:w="759" w:type="dxa"/>
            <w:vAlign w:val="center"/>
          </w:tcPr>
          <w:p w14:paraId="59F0D3DC">
            <w:pPr>
              <w:spacing w:line="276" w:lineRule="auto"/>
              <w:jc w:val="center"/>
              <w:rPr>
                <w:rFonts w:ascii="仿宋" w:hAnsi="仿宋" w:eastAsia="仿宋" w:cs="仿宋"/>
                <w:color w:val="auto"/>
                <w:highlight w:val="none"/>
              </w:rPr>
            </w:pPr>
            <w:r>
              <w:rPr>
                <w:rFonts w:hint="eastAsia" w:ascii="仿宋" w:hAnsi="仿宋" w:eastAsia="仿宋" w:cs="仿宋"/>
                <w:color w:val="auto"/>
                <w:highlight w:val="none"/>
              </w:rPr>
              <w:t>1</w:t>
            </w:r>
          </w:p>
        </w:tc>
        <w:tc>
          <w:tcPr>
            <w:tcW w:w="5307" w:type="dxa"/>
            <w:vAlign w:val="center"/>
          </w:tcPr>
          <w:p w14:paraId="4444515E">
            <w:pPr>
              <w:spacing w:line="276" w:lineRule="auto"/>
              <w:rPr>
                <w:rFonts w:ascii="仿宋" w:hAnsi="仿宋" w:eastAsia="仿宋" w:cs="仿宋"/>
                <w:color w:val="auto"/>
                <w:highlight w:val="none"/>
              </w:rPr>
            </w:pPr>
          </w:p>
        </w:tc>
        <w:tc>
          <w:tcPr>
            <w:tcW w:w="3085" w:type="dxa"/>
          </w:tcPr>
          <w:p w14:paraId="7CDA8F2B">
            <w:pPr>
              <w:rPr>
                <w:rFonts w:ascii="仿宋" w:hAnsi="仿宋" w:eastAsia="仿宋" w:cs="仿宋"/>
                <w:color w:val="auto"/>
                <w:highlight w:val="none"/>
              </w:rPr>
            </w:pPr>
          </w:p>
        </w:tc>
      </w:tr>
      <w:tr w14:paraId="31168D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jc w:val="center"/>
        </w:trPr>
        <w:tc>
          <w:tcPr>
            <w:tcW w:w="759" w:type="dxa"/>
            <w:vAlign w:val="center"/>
          </w:tcPr>
          <w:p w14:paraId="45576CA6">
            <w:pPr>
              <w:spacing w:line="276" w:lineRule="auto"/>
              <w:jc w:val="center"/>
              <w:rPr>
                <w:rFonts w:ascii="仿宋" w:hAnsi="仿宋" w:eastAsia="仿宋" w:cs="仿宋"/>
                <w:color w:val="auto"/>
                <w:highlight w:val="none"/>
              </w:rPr>
            </w:pPr>
            <w:r>
              <w:rPr>
                <w:rFonts w:hint="eastAsia" w:ascii="仿宋" w:hAnsi="仿宋" w:eastAsia="仿宋" w:cs="仿宋"/>
                <w:color w:val="auto"/>
                <w:highlight w:val="none"/>
              </w:rPr>
              <w:t>2</w:t>
            </w:r>
          </w:p>
        </w:tc>
        <w:tc>
          <w:tcPr>
            <w:tcW w:w="5307" w:type="dxa"/>
            <w:vAlign w:val="center"/>
          </w:tcPr>
          <w:p w14:paraId="3EA2A27C">
            <w:pPr>
              <w:spacing w:line="276" w:lineRule="auto"/>
              <w:rPr>
                <w:rFonts w:ascii="仿宋" w:hAnsi="仿宋" w:eastAsia="仿宋" w:cs="仿宋"/>
                <w:color w:val="auto"/>
                <w:highlight w:val="none"/>
              </w:rPr>
            </w:pPr>
          </w:p>
        </w:tc>
        <w:tc>
          <w:tcPr>
            <w:tcW w:w="3085" w:type="dxa"/>
          </w:tcPr>
          <w:p w14:paraId="6E691375">
            <w:pPr>
              <w:rPr>
                <w:rFonts w:ascii="仿宋" w:hAnsi="仿宋" w:eastAsia="仿宋" w:cs="仿宋"/>
                <w:color w:val="auto"/>
                <w:highlight w:val="none"/>
              </w:rPr>
            </w:pPr>
          </w:p>
        </w:tc>
      </w:tr>
      <w:tr w14:paraId="4F58BA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jc w:val="center"/>
        </w:trPr>
        <w:tc>
          <w:tcPr>
            <w:tcW w:w="759" w:type="dxa"/>
            <w:vAlign w:val="center"/>
          </w:tcPr>
          <w:p w14:paraId="3BC37F0E">
            <w:pPr>
              <w:spacing w:line="276" w:lineRule="auto"/>
              <w:jc w:val="center"/>
              <w:rPr>
                <w:rFonts w:ascii="仿宋" w:hAnsi="仿宋" w:eastAsia="仿宋" w:cs="仿宋"/>
                <w:color w:val="auto"/>
                <w:highlight w:val="none"/>
              </w:rPr>
            </w:pPr>
            <w:r>
              <w:rPr>
                <w:rFonts w:hint="eastAsia" w:ascii="仿宋" w:hAnsi="仿宋" w:eastAsia="仿宋" w:cs="仿宋"/>
                <w:color w:val="auto"/>
                <w:highlight w:val="none"/>
              </w:rPr>
              <w:t>3</w:t>
            </w:r>
          </w:p>
        </w:tc>
        <w:tc>
          <w:tcPr>
            <w:tcW w:w="5307" w:type="dxa"/>
            <w:vAlign w:val="center"/>
          </w:tcPr>
          <w:p w14:paraId="311096E8">
            <w:pPr>
              <w:spacing w:line="276" w:lineRule="auto"/>
              <w:rPr>
                <w:rFonts w:ascii="仿宋" w:hAnsi="仿宋" w:eastAsia="仿宋" w:cs="仿宋"/>
                <w:color w:val="auto"/>
                <w:highlight w:val="none"/>
              </w:rPr>
            </w:pPr>
          </w:p>
        </w:tc>
        <w:tc>
          <w:tcPr>
            <w:tcW w:w="3085" w:type="dxa"/>
          </w:tcPr>
          <w:p w14:paraId="0538B5C9">
            <w:pPr>
              <w:rPr>
                <w:rFonts w:ascii="仿宋" w:hAnsi="仿宋" w:eastAsia="仿宋" w:cs="仿宋"/>
                <w:color w:val="auto"/>
                <w:highlight w:val="none"/>
              </w:rPr>
            </w:pPr>
          </w:p>
        </w:tc>
      </w:tr>
      <w:tr w14:paraId="5BE976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jc w:val="center"/>
        </w:trPr>
        <w:tc>
          <w:tcPr>
            <w:tcW w:w="759" w:type="dxa"/>
            <w:vAlign w:val="center"/>
          </w:tcPr>
          <w:p w14:paraId="360C4508">
            <w:pPr>
              <w:spacing w:line="276" w:lineRule="auto"/>
              <w:jc w:val="center"/>
              <w:rPr>
                <w:rFonts w:ascii="仿宋" w:hAnsi="仿宋" w:eastAsia="仿宋" w:cs="仿宋"/>
                <w:color w:val="auto"/>
                <w:highlight w:val="none"/>
              </w:rPr>
            </w:pPr>
            <w:r>
              <w:rPr>
                <w:rFonts w:hint="eastAsia" w:ascii="仿宋" w:hAnsi="仿宋" w:eastAsia="仿宋" w:cs="仿宋"/>
                <w:color w:val="auto"/>
                <w:highlight w:val="none"/>
              </w:rPr>
              <w:t>4</w:t>
            </w:r>
          </w:p>
        </w:tc>
        <w:tc>
          <w:tcPr>
            <w:tcW w:w="5307" w:type="dxa"/>
            <w:vAlign w:val="center"/>
          </w:tcPr>
          <w:p w14:paraId="34E57E5F">
            <w:pPr>
              <w:spacing w:line="276" w:lineRule="auto"/>
              <w:rPr>
                <w:rFonts w:ascii="仿宋" w:hAnsi="仿宋" w:eastAsia="仿宋" w:cs="仿宋"/>
                <w:color w:val="auto"/>
                <w:highlight w:val="none"/>
              </w:rPr>
            </w:pPr>
          </w:p>
        </w:tc>
        <w:tc>
          <w:tcPr>
            <w:tcW w:w="3085" w:type="dxa"/>
          </w:tcPr>
          <w:p w14:paraId="3E0794CC">
            <w:pPr>
              <w:rPr>
                <w:rFonts w:ascii="仿宋" w:hAnsi="仿宋" w:eastAsia="仿宋" w:cs="仿宋"/>
                <w:color w:val="auto"/>
                <w:highlight w:val="none"/>
              </w:rPr>
            </w:pPr>
          </w:p>
        </w:tc>
      </w:tr>
      <w:tr w14:paraId="32B411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jc w:val="center"/>
        </w:trPr>
        <w:tc>
          <w:tcPr>
            <w:tcW w:w="759" w:type="dxa"/>
            <w:vAlign w:val="center"/>
          </w:tcPr>
          <w:p w14:paraId="7F135048">
            <w:pPr>
              <w:spacing w:line="276" w:lineRule="auto"/>
              <w:jc w:val="center"/>
              <w:rPr>
                <w:rFonts w:ascii="仿宋" w:hAnsi="仿宋" w:eastAsia="仿宋" w:cs="仿宋"/>
                <w:color w:val="auto"/>
                <w:highlight w:val="none"/>
              </w:rPr>
            </w:pPr>
            <w:r>
              <w:rPr>
                <w:rFonts w:hint="eastAsia" w:ascii="仿宋" w:hAnsi="仿宋" w:eastAsia="仿宋" w:cs="仿宋"/>
                <w:color w:val="auto"/>
                <w:highlight w:val="none"/>
              </w:rPr>
              <w:t>5</w:t>
            </w:r>
          </w:p>
        </w:tc>
        <w:tc>
          <w:tcPr>
            <w:tcW w:w="5307" w:type="dxa"/>
            <w:vAlign w:val="center"/>
          </w:tcPr>
          <w:p w14:paraId="4229496D">
            <w:pPr>
              <w:spacing w:line="276" w:lineRule="auto"/>
              <w:rPr>
                <w:rFonts w:ascii="仿宋" w:hAnsi="仿宋" w:eastAsia="仿宋" w:cs="仿宋"/>
                <w:color w:val="auto"/>
                <w:highlight w:val="none"/>
              </w:rPr>
            </w:pPr>
          </w:p>
        </w:tc>
        <w:tc>
          <w:tcPr>
            <w:tcW w:w="3085" w:type="dxa"/>
          </w:tcPr>
          <w:p w14:paraId="383DA115">
            <w:pPr>
              <w:rPr>
                <w:rFonts w:ascii="仿宋" w:hAnsi="仿宋" w:eastAsia="仿宋" w:cs="仿宋"/>
                <w:color w:val="auto"/>
                <w:highlight w:val="none"/>
              </w:rPr>
            </w:pPr>
          </w:p>
        </w:tc>
      </w:tr>
      <w:tr w14:paraId="23554A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jc w:val="center"/>
        </w:trPr>
        <w:tc>
          <w:tcPr>
            <w:tcW w:w="759" w:type="dxa"/>
            <w:vAlign w:val="center"/>
          </w:tcPr>
          <w:p w14:paraId="5AEB528A">
            <w:pPr>
              <w:spacing w:line="276" w:lineRule="auto"/>
              <w:jc w:val="center"/>
              <w:rPr>
                <w:rFonts w:ascii="仿宋" w:hAnsi="仿宋" w:eastAsia="仿宋" w:cs="仿宋"/>
                <w:color w:val="auto"/>
                <w:highlight w:val="none"/>
              </w:rPr>
            </w:pPr>
            <w:r>
              <w:rPr>
                <w:rFonts w:hint="eastAsia" w:ascii="仿宋" w:hAnsi="仿宋" w:eastAsia="仿宋" w:cs="仿宋"/>
                <w:color w:val="auto"/>
                <w:highlight w:val="none"/>
              </w:rPr>
              <w:t>6</w:t>
            </w:r>
          </w:p>
        </w:tc>
        <w:tc>
          <w:tcPr>
            <w:tcW w:w="5307" w:type="dxa"/>
            <w:vAlign w:val="center"/>
          </w:tcPr>
          <w:p w14:paraId="4143D04A">
            <w:pPr>
              <w:spacing w:line="276" w:lineRule="auto"/>
              <w:rPr>
                <w:rFonts w:ascii="仿宋" w:hAnsi="仿宋" w:eastAsia="仿宋" w:cs="仿宋"/>
                <w:color w:val="auto"/>
                <w:highlight w:val="none"/>
              </w:rPr>
            </w:pPr>
          </w:p>
        </w:tc>
        <w:tc>
          <w:tcPr>
            <w:tcW w:w="3085" w:type="dxa"/>
          </w:tcPr>
          <w:p w14:paraId="76AE6E28">
            <w:pPr>
              <w:rPr>
                <w:rFonts w:ascii="仿宋" w:hAnsi="仿宋" w:eastAsia="仿宋" w:cs="仿宋"/>
                <w:color w:val="auto"/>
                <w:highlight w:val="none"/>
              </w:rPr>
            </w:pPr>
          </w:p>
        </w:tc>
      </w:tr>
      <w:tr w14:paraId="4FD641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jc w:val="center"/>
        </w:trPr>
        <w:tc>
          <w:tcPr>
            <w:tcW w:w="759" w:type="dxa"/>
            <w:vAlign w:val="center"/>
          </w:tcPr>
          <w:p w14:paraId="350AD4A0">
            <w:pPr>
              <w:spacing w:line="276" w:lineRule="auto"/>
              <w:jc w:val="center"/>
              <w:rPr>
                <w:rFonts w:ascii="仿宋" w:hAnsi="仿宋" w:eastAsia="仿宋" w:cs="仿宋"/>
                <w:color w:val="auto"/>
                <w:highlight w:val="none"/>
              </w:rPr>
            </w:pPr>
            <w:r>
              <w:rPr>
                <w:rFonts w:hint="eastAsia" w:ascii="仿宋" w:hAnsi="仿宋" w:eastAsia="仿宋" w:cs="仿宋"/>
                <w:color w:val="auto"/>
                <w:highlight w:val="none"/>
              </w:rPr>
              <w:t>7</w:t>
            </w:r>
          </w:p>
        </w:tc>
        <w:tc>
          <w:tcPr>
            <w:tcW w:w="5307" w:type="dxa"/>
            <w:vAlign w:val="center"/>
          </w:tcPr>
          <w:p w14:paraId="17D668AD">
            <w:pPr>
              <w:spacing w:line="276" w:lineRule="auto"/>
              <w:rPr>
                <w:rFonts w:ascii="仿宋" w:hAnsi="仿宋" w:eastAsia="仿宋" w:cs="仿宋"/>
                <w:color w:val="auto"/>
                <w:highlight w:val="none"/>
              </w:rPr>
            </w:pPr>
          </w:p>
        </w:tc>
        <w:tc>
          <w:tcPr>
            <w:tcW w:w="3085" w:type="dxa"/>
          </w:tcPr>
          <w:p w14:paraId="13738C0A">
            <w:pPr>
              <w:rPr>
                <w:rFonts w:ascii="仿宋" w:hAnsi="仿宋" w:eastAsia="仿宋" w:cs="仿宋"/>
                <w:color w:val="auto"/>
                <w:highlight w:val="none"/>
              </w:rPr>
            </w:pPr>
          </w:p>
        </w:tc>
      </w:tr>
      <w:tr w14:paraId="423BA6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jc w:val="center"/>
        </w:trPr>
        <w:tc>
          <w:tcPr>
            <w:tcW w:w="759" w:type="dxa"/>
            <w:vAlign w:val="center"/>
          </w:tcPr>
          <w:p w14:paraId="615ADB63">
            <w:pPr>
              <w:spacing w:line="276" w:lineRule="auto"/>
              <w:jc w:val="center"/>
              <w:rPr>
                <w:rFonts w:ascii="仿宋" w:hAnsi="仿宋" w:eastAsia="仿宋" w:cs="仿宋"/>
                <w:color w:val="auto"/>
                <w:highlight w:val="none"/>
              </w:rPr>
            </w:pPr>
            <w:r>
              <w:rPr>
                <w:rFonts w:hint="eastAsia" w:ascii="仿宋" w:hAnsi="仿宋" w:eastAsia="仿宋" w:cs="仿宋"/>
                <w:color w:val="auto"/>
                <w:highlight w:val="none"/>
              </w:rPr>
              <w:t>8</w:t>
            </w:r>
          </w:p>
        </w:tc>
        <w:tc>
          <w:tcPr>
            <w:tcW w:w="5307" w:type="dxa"/>
            <w:vAlign w:val="center"/>
          </w:tcPr>
          <w:p w14:paraId="4BE5EC10">
            <w:pPr>
              <w:spacing w:line="276" w:lineRule="auto"/>
              <w:rPr>
                <w:rFonts w:ascii="仿宋" w:hAnsi="仿宋" w:eastAsia="仿宋" w:cs="仿宋"/>
                <w:color w:val="auto"/>
                <w:highlight w:val="none"/>
              </w:rPr>
            </w:pPr>
          </w:p>
        </w:tc>
        <w:tc>
          <w:tcPr>
            <w:tcW w:w="3085" w:type="dxa"/>
          </w:tcPr>
          <w:p w14:paraId="100A5F04">
            <w:pPr>
              <w:rPr>
                <w:rFonts w:ascii="仿宋" w:hAnsi="仿宋" w:eastAsia="仿宋" w:cs="仿宋"/>
                <w:color w:val="auto"/>
                <w:highlight w:val="none"/>
              </w:rPr>
            </w:pPr>
          </w:p>
        </w:tc>
      </w:tr>
    </w:tbl>
    <w:p w14:paraId="5D1979C7">
      <w:pPr>
        <w:spacing w:line="360" w:lineRule="auto"/>
        <w:ind w:firstLine="0"/>
        <w:jc w:val="center"/>
        <w:rPr>
          <w:rFonts w:hint="eastAsia" w:ascii="仿宋" w:hAnsi="仿宋" w:eastAsia="仿宋" w:cs="仿宋"/>
          <w:b/>
          <w:bCs/>
          <w:color w:val="auto"/>
          <w:sz w:val="32"/>
          <w:szCs w:val="32"/>
          <w:highlight w:val="none"/>
        </w:rPr>
      </w:pPr>
      <w:r>
        <w:rPr>
          <w:rFonts w:hint="eastAsia" w:ascii="仿宋" w:hAnsi="仿宋" w:eastAsia="仿宋" w:cs="仿宋"/>
          <w:b/>
          <w:color w:val="auto"/>
          <w:sz w:val="36"/>
          <w:highlight w:val="none"/>
          <w:u w:val="single"/>
        </w:rPr>
        <w:br w:type="page" w:clear="all"/>
      </w:r>
      <w:r>
        <w:rPr>
          <w:rFonts w:hint="eastAsia" w:ascii="仿宋" w:hAnsi="仿宋" w:eastAsia="仿宋" w:cs="仿宋"/>
          <w:b/>
          <w:bCs/>
          <w:color w:val="auto"/>
          <w:sz w:val="32"/>
          <w:szCs w:val="32"/>
          <w:highlight w:val="none"/>
        </w:rPr>
        <w:t>投标主要文件目录</w:t>
      </w:r>
    </w:p>
    <w:p w14:paraId="6A563660">
      <w:pPr>
        <w:spacing w:line="360" w:lineRule="auto"/>
        <w:ind w:firstLine="1084"/>
        <w:jc w:val="center"/>
        <w:rPr>
          <w:rFonts w:hint="eastAsia" w:ascii="仿宋" w:hAnsi="仿宋" w:eastAsia="仿宋" w:cs="仿宋"/>
          <w:b/>
          <w:bCs/>
          <w:color w:val="auto"/>
          <w:sz w:val="32"/>
          <w:szCs w:val="32"/>
          <w:highlight w:val="none"/>
        </w:rPr>
      </w:pPr>
    </w:p>
    <w:p w14:paraId="651DA6BE">
      <w:pPr>
        <w:spacing w:line="360" w:lineRule="auto"/>
        <w:jc w:val="left"/>
        <w:rPr>
          <w:rFonts w:ascii="仿宋" w:hAnsi="仿宋" w:eastAsia="仿宋" w:cs="仿宋"/>
          <w:iCs/>
          <w:color w:val="auto"/>
          <w:sz w:val="24"/>
          <w:highlight w:val="none"/>
          <w:u w:val="single"/>
        </w:rPr>
      </w:pPr>
      <w:bookmarkStart w:id="341" w:name="_Toc30403"/>
      <w:bookmarkStart w:id="342" w:name="_Toc30097"/>
      <w:r>
        <w:rPr>
          <w:rFonts w:hint="eastAsia" w:ascii="仿宋" w:hAnsi="仿宋" w:eastAsia="仿宋" w:cs="仿宋"/>
          <w:iCs/>
          <w:color w:val="auto"/>
          <w:sz w:val="24"/>
          <w:highlight w:val="none"/>
          <w:u w:val="single"/>
        </w:rPr>
        <w:t>一、</w:t>
      </w:r>
      <w:bookmarkEnd w:id="341"/>
      <w:bookmarkEnd w:id="342"/>
      <w:r>
        <w:rPr>
          <w:rFonts w:hint="eastAsia" w:ascii="仿宋" w:hAnsi="仿宋" w:eastAsia="仿宋" w:cs="仿宋"/>
          <w:iCs/>
          <w:color w:val="auto"/>
          <w:sz w:val="24"/>
          <w:highlight w:val="none"/>
          <w:u w:val="single"/>
        </w:rPr>
        <w:t>具有独立承担民事责任的能力（提供营业执照，自然人的身份证并加盖公章）</w:t>
      </w:r>
    </w:p>
    <w:p w14:paraId="6452E45D">
      <w:pPr>
        <w:spacing w:line="360" w:lineRule="auto"/>
        <w:jc w:val="left"/>
        <w:rPr>
          <w:rFonts w:ascii="仿宋" w:hAnsi="仿宋" w:eastAsia="仿宋" w:cs="仿宋"/>
          <w:iCs/>
          <w:color w:val="auto"/>
          <w:sz w:val="24"/>
          <w:highlight w:val="none"/>
          <w:u w:val="single"/>
        </w:rPr>
      </w:pPr>
      <w:r>
        <w:rPr>
          <w:rFonts w:hint="eastAsia" w:ascii="仿宋" w:hAnsi="仿宋" w:eastAsia="仿宋" w:cs="仿宋"/>
          <w:iCs/>
          <w:color w:val="auto"/>
          <w:sz w:val="24"/>
          <w:highlight w:val="none"/>
          <w:u w:val="single"/>
        </w:rPr>
        <w:t>二、具有良好的商业信誉和健全的财务会计制度（提供</w:t>
      </w:r>
      <w:r>
        <w:rPr>
          <w:rFonts w:hint="eastAsia" w:ascii="仿宋" w:hAnsi="仿宋" w:eastAsia="仿宋" w:cs="仿宋"/>
          <w:iCs/>
          <w:color w:val="auto"/>
          <w:sz w:val="24"/>
          <w:highlight w:val="none"/>
          <w:u w:val="single"/>
          <w:lang w:eastAsia="zh-CN"/>
        </w:rPr>
        <w:t>上一年度的财务状况报告（成立不满1年不需提供。若2025年财务状况报告未完成，可提交2024年的财务状况或近1年任意1个月的财务报表）</w:t>
      </w:r>
      <w:r>
        <w:rPr>
          <w:rFonts w:hint="eastAsia" w:ascii="仿宋" w:hAnsi="仿宋" w:eastAsia="仿宋" w:cs="仿宋"/>
          <w:iCs/>
          <w:color w:val="auto"/>
          <w:sz w:val="24"/>
          <w:highlight w:val="none"/>
          <w:u w:val="single"/>
        </w:rPr>
        <w:t>）</w:t>
      </w:r>
    </w:p>
    <w:p w14:paraId="5FAD9682">
      <w:pPr>
        <w:spacing w:line="360" w:lineRule="auto"/>
        <w:jc w:val="left"/>
        <w:rPr>
          <w:rFonts w:ascii="仿宋" w:hAnsi="仿宋" w:eastAsia="仿宋" w:cs="仿宋"/>
          <w:iCs/>
          <w:color w:val="auto"/>
          <w:sz w:val="24"/>
          <w:highlight w:val="none"/>
          <w:u w:val="single"/>
        </w:rPr>
      </w:pPr>
      <w:r>
        <w:rPr>
          <w:rFonts w:hint="eastAsia" w:ascii="仿宋" w:hAnsi="仿宋" w:eastAsia="仿宋" w:cs="仿宋"/>
          <w:iCs/>
          <w:color w:val="auto"/>
          <w:sz w:val="24"/>
          <w:highlight w:val="none"/>
          <w:u w:val="single"/>
        </w:rPr>
        <w:t>三、有依法缴纳税收和社会保障资金的良好记录（提供提交投标文件截止时间前1年内至少一个月依法缴纳税收及缴纳社会保障资金的证明材料。供应商依法享受缓缴、免缴税收、社会保障资金的提供证明材料。）</w:t>
      </w:r>
    </w:p>
    <w:p w14:paraId="732C592E">
      <w:pPr>
        <w:spacing w:line="360" w:lineRule="auto"/>
        <w:jc w:val="left"/>
        <w:rPr>
          <w:rFonts w:ascii="仿宋" w:hAnsi="仿宋" w:eastAsia="仿宋" w:cs="仿宋"/>
          <w:iCs/>
          <w:color w:val="auto"/>
          <w:sz w:val="24"/>
          <w:highlight w:val="none"/>
          <w:u w:val="single"/>
        </w:rPr>
      </w:pPr>
      <w:bookmarkStart w:id="343" w:name="_Toc9391"/>
      <w:r>
        <w:rPr>
          <w:rFonts w:hint="eastAsia" w:ascii="仿宋" w:hAnsi="仿宋" w:eastAsia="仿宋" w:cs="仿宋"/>
          <w:iCs/>
          <w:color w:val="auto"/>
          <w:sz w:val="24"/>
          <w:highlight w:val="none"/>
          <w:u w:val="single"/>
        </w:rPr>
        <w:t>四、具备履行合同所必需的设备和专业技术能力的书面声明（根据项目需求提供履行合同所必需的设备和专业技术能力的证明材料）</w:t>
      </w:r>
      <w:bookmarkEnd w:id="343"/>
    </w:p>
    <w:p w14:paraId="363A0068">
      <w:pPr>
        <w:spacing w:line="360" w:lineRule="auto"/>
        <w:jc w:val="left"/>
        <w:rPr>
          <w:rFonts w:ascii="仿宋" w:hAnsi="仿宋" w:eastAsia="仿宋" w:cs="仿宋"/>
          <w:iCs/>
          <w:color w:val="auto"/>
          <w:sz w:val="24"/>
          <w:highlight w:val="none"/>
          <w:u w:val="single"/>
        </w:rPr>
      </w:pPr>
      <w:r>
        <w:rPr>
          <w:rFonts w:hint="eastAsia" w:ascii="仿宋" w:hAnsi="仿宋" w:eastAsia="仿宋" w:cs="仿宋"/>
          <w:iCs/>
          <w:color w:val="auto"/>
          <w:sz w:val="24"/>
          <w:highlight w:val="none"/>
          <w:u w:val="single"/>
        </w:rPr>
        <w:t>五、参加政府采购活动前3年内在经营活动中没有重大违法记录的书面声明（提供参加本次采购活动前3年内在经营活动中没有重大违法记录的书面声明）</w:t>
      </w:r>
    </w:p>
    <w:p w14:paraId="131E6068">
      <w:pPr>
        <w:spacing w:line="360" w:lineRule="auto"/>
        <w:jc w:val="left"/>
        <w:rPr>
          <w:rFonts w:ascii="仿宋" w:hAnsi="仿宋" w:eastAsia="仿宋" w:cs="仿宋"/>
          <w:iCs/>
          <w:color w:val="auto"/>
          <w:sz w:val="24"/>
          <w:highlight w:val="none"/>
          <w:u w:val="single"/>
        </w:rPr>
      </w:pPr>
      <w:r>
        <w:rPr>
          <w:rFonts w:hint="eastAsia" w:ascii="仿宋" w:hAnsi="仿宋" w:eastAsia="仿宋" w:cs="仿宋"/>
          <w:iCs/>
          <w:color w:val="auto"/>
          <w:sz w:val="24"/>
          <w:highlight w:val="none"/>
          <w:u w:val="single"/>
        </w:rPr>
        <w:t>六、特定资格要求的证明文件（如果本项目设置特定资格要求，则需要提供）</w:t>
      </w:r>
    </w:p>
    <w:p w14:paraId="5E5670E4">
      <w:pPr>
        <w:spacing w:line="360" w:lineRule="auto"/>
        <w:jc w:val="left"/>
        <w:rPr>
          <w:rFonts w:ascii="仿宋" w:hAnsi="仿宋" w:eastAsia="仿宋" w:cs="仿宋"/>
          <w:iCs/>
          <w:color w:val="auto"/>
          <w:sz w:val="24"/>
          <w:highlight w:val="none"/>
          <w:u w:val="single"/>
        </w:rPr>
      </w:pPr>
      <w:r>
        <w:rPr>
          <w:rFonts w:hint="eastAsia" w:ascii="仿宋" w:hAnsi="仿宋" w:eastAsia="仿宋" w:cs="仿宋"/>
          <w:iCs/>
          <w:color w:val="auto"/>
          <w:sz w:val="24"/>
          <w:highlight w:val="none"/>
          <w:u w:val="single"/>
        </w:rPr>
        <w:t>七、承诺函</w:t>
      </w:r>
    </w:p>
    <w:p w14:paraId="11F8760D">
      <w:pPr>
        <w:spacing w:line="360" w:lineRule="auto"/>
        <w:jc w:val="left"/>
        <w:rPr>
          <w:rFonts w:ascii="仿宋" w:hAnsi="仿宋" w:eastAsia="仿宋" w:cs="仿宋"/>
          <w:iCs/>
          <w:color w:val="auto"/>
          <w:sz w:val="24"/>
          <w:highlight w:val="none"/>
          <w:u w:val="single"/>
        </w:rPr>
      </w:pPr>
      <w:r>
        <w:rPr>
          <w:rFonts w:hint="eastAsia" w:ascii="仿宋" w:hAnsi="仿宋" w:eastAsia="仿宋" w:cs="仿宋"/>
          <w:iCs/>
          <w:color w:val="auto"/>
          <w:sz w:val="24"/>
          <w:highlight w:val="none"/>
          <w:u w:val="single"/>
        </w:rPr>
        <w:t>八、法人授权书</w:t>
      </w:r>
    </w:p>
    <w:p w14:paraId="66B3D8B5">
      <w:pPr>
        <w:spacing w:line="360" w:lineRule="auto"/>
        <w:jc w:val="left"/>
        <w:rPr>
          <w:rFonts w:ascii="仿宋" w:hAnsi="仿宋" w:eastAsia="仿宋" w:cs="仿宋"/>
          <w:iCs/>
          <w:color w:val="auto"/>
          <w:sz w:val="24"/>
          <w:highlight w:val="none"/>
          <w:u w:val="single"/>
        </w:rPr>
      </w:pPr>
      <w:r>
        <w:rPr>
          <w:rFonts w:hint="eastAsia" w:ascii="仿宋" w:hAnsi="仿宋" w:eastAsia="仿宋" w:cs="仿宋"/>
          <w:iCs/>
          <w:color w:val="auto"/>
          <w:sz w:val="24"/>
          <w:highlight w:val="none"/>
          <w:u w:val="single"/>
        </w:rPr>
        <w:t>九、投标函</w:t>
      </w:r>
    </w:p>
    <w:p w14:paraId="5F9DB5AB">
      <w:pPr>
        <w:spacing w:line="360" w:lineRule="auto"/>
        <w:jc w:val="left"/>
        <w:rPr>
          <w:rFonts w:ascii="仿宋" w:hAnsi="仿宋" w:eastAsia="仿宋" w:cs="仿宋"/>
          <w:iCs/>
          <w:color w:val="auto"/>
          <w:sz w:val="24"/>
          <w:highlight w:val="none"/>
          <w:u w:val="single"/>
        </w:rPr>
      </w:pPr>
      <w:r>
        <w:rPr>
          <w:rFonts w:hint="eastAsia" w:ascii="仿宋" w:hAnsi="仿宋" w:eastAsia="仿宋" w:cs="仿宋"/>
          <w:iCs/>
          <w:color w:val="auto"/>
          <w:sz w:val="24"/>
          <w:highlight w:val="none"/>
          <w:u w:val="single"/>
        </w:rPr>
        <w:t>十、中小企业声明函</w:t>
      </w:r>
    </w:p>
    <w:p w14:paraId="6D854973">
      <w:pPr>
        <w:spacing w:line="360" w:lineRule="auto"/>
        <w:jc w:val="left"/>
        <w:rPr>
          <w:rFonts w:ascii="仿宋" w:hAnsi="仿宋" w:eastAsia="仿宋" w:cs="仿宋"/>
          <w:iCs/>
          <w:color w:val="auto"/>
          <w:sz w:val="24"/>
          <w:highlight w:val="none"/>
          <w:u w:val="single"/>
        </w:rPr>
      </w:pPr>
      <w:r>
        <w:rPr>
          <w:rFonts w:hint="eastAsia" w:ascii="仿宋" w:hAnsi="仿宋" w:eastAsia="仿宋" w:cs="仿宋"/>
          <w:iCs/>
          <w:color w:val="auto"/>
          <w:sz w:val="24"/>
          <w:highlight w:val="none"/>
          <w:u w:val="single"/>
        </w:rPr>
        <w:t>十一、残疾人福利性单位声明函</w:t>
      </w:r>
    </w:p>
    <w:p w14:paraId="1EB09C54">
      <w:pPr>
        <w:spacing w:line="360" w:lineRule="auto"/>
        <w:jc w:val="left"/>
        <w:rPr>
          <w:rFonts w:ascii="仿宋" w:hAnsi="仿宋" w:eastAsia="仿宋" w:cs="仿宋"/>
          <w:iCs/>
          <w:color w:val="auto"/>
          <w:sz w:val="24"/>
          <w:highlight w:val="none"/>
          <w:u w:val="single"/>
        </w:rPr>
      </w:pPr>
      <w:r>
        <w:rPr>
          <w:rFonts w:hint="eastAsia" w:ascii="仿宋" w:hAnsi="仿宋" w:eastAsia="仿宋" w:cs="仿宋"/>
          <w:iCs/>
          <w:color w:val="auto"/>
          <w:sz w:val="24"/>
          <w:highlight w:val="none"/>
          <w:u w:val="single"/>
        </w:rPr>
        <w:t>十二、监狱企业声明函</w:t>
      </w:r>
    </w:p>
    <w:p w14:paraId="2A4E2813">
      <w:pPr>
        <w:spacing w:line="360" w:lineRule="auto"/>
        <w:jc w:val="left"/>
        <w:rPr>
          <w:rFonts w:ascii="仿宋" w:hAnsi="仿宋" w:eastAsia="仿宋" w:cs="仿宋"/>
          <w:iCs/>
          <w:color w:val="auto"/>
          <w:sz w:val="24"/>
          <w:highlight w:val="none"/>
          <w:u w:val="single"/>
        </w:rPr>
      </w:pPr>
      <w:r>
        <w:rPr>
          <w:rFonts w:hint="eastAsia" w:ascii="仿宋" w:hAnsi="仿宋" w:eastAsia="仿宋" w:cs="仿宋"/>
          <w:iCs/>
          <w:color w:val="auto"/>
          <w:sz w:val="24"/>
          <w:highlight w:val="none"/>
          <w:u w:val="single"/>
        </w:rPr>
        <w:t>十三、开标一览表</w:t>
      </w:r>
    </w:p>
    <w:p w14:paraId="3172458F">
      <w:pPr>
        <w:spacing w:line="360" w:lineRule="auto"/>
        <w:jc w:val="left"/>
        <w:rPr>
          <w:rFonts w:ascii="仿宋" w:hAnsi="仿宋" w:eastAsia="仿宋" w:cs="仿宋"/>
          <w:iCs/>
          <w:color w:val="auto"/>
          <w:sz w:val="24"/>
          <w:highlight w:val="none"/>
          <w:u w:val="single"/>
        </w:rPr>
      </w:pPr>
      <w:r>
        <w:rPr>
          <w:rFonts w:hint="eastAsia" w:ascii="仿宋" w:hAnsi="仿宋" w:eastAsia="仿宋" w:cs="仿宋"/>
          <w:iCs/>
          <w:color w:val="auto"/>
          <w:sz w:val="24"/>
          <w:highlight w:val="none"/>
          <w:u w:val="single"/>
        </w:rPr>
        <w:t>十四、投标分项报价表</w:t>
      </w:r>
    </w:p>
    <w:p w14:paraId="2E279B35">
      <w:pPr>
        <w:spacing w:line="360" w:lineRule="auto"/>
        <w:jc w:val="left"/>
        <w:rPr>
          <w:rFonts w:ascii="仿宋" w:hAnsi="仿宋" w:eastAsia="仿宋" w:cs="仿宋"/>
          <w:iCs/>
          <w:color w:val="auto"/>
          <w:sz w:val="24"/>
          <w:highlight w:val="none"/>
          <w:u w:val="single"/>
        </w:rPr>
      </w:pPr>
      <w:r>
        <w:rPr>
          <w:rFonts w:hint="eastAsia" w:ascii="仿宋" w:hAnsi="仿宋" w:eastAsia="仿宋" w:cs="仿宋"/>
          <w:iCs/>
          <w:color w:val="auto"/>
          <w:sz w:val="24"/>
          <w:highlight w:val="none"/>
          <w:u w:val="single"/>
        </w:rPr>
        <w:t>十五、技术要求响应及偏离表</w:t>
      </w:r>
    </w:p>
    <w:p w14:paraId="368A5B4A">
      <w:pPr>
        <w:spacing w:line="360" w:lineRule="auto"/>
        <w:jc w:val="left"/>
        <w:rPr>
          <w:rFonts w:ascii="仿宋" w:hAnsi="仿宋" w:eastAsia="仿宋" w:cs="仿宋"/>
          <w:iCs/>
          <w:color w:val="auto"/>
          <w:sz w:val="24"/>
          <w:highlight w:val="none"/>
          <w:u w:val="single"/>
        </w:rPr>
      </w:pPr>
      <w:r>
        <w:rPr>
          <w:rFonts w:hint="eastAsia" w:ascii="仿宋" w:hAnsi="仿宋" w:eastAsia="仿宋" w:cs="仿宋"/>
          <w:iCs/>
          <w:color w:val="auto"/>
          <w:sz w:val="24"/>
          <w:highlight w:val="none"/>
          <w:u w:val="single"/>
        </w:rPr>
        <w:t>十六、商务要求响应及偏离表</w:t>
      </w:r>
    </w:p>
    <w:p w14:paraId="0F9BC946">
      <w:pPr>
        <w:spacing w:line="360" w:lineRule="auto"/>
        <w:jc w:val="left"/>
        <w:rPr>
          <w:rFonts w:hint="eastAsia" w:ascii="仿宋" w:hAnsi="仿宋" w:eastAsia="仿宋" w:cs="仿宋"/>
          <w:iCs/>
          <w:color w:val="auto"/>
          <w:sz w:val="24"/>
          <w:highlight w:val="none"/>
          <w:u w:val="single"/>
        </w:rPr>
      </w:pPr>
      <w:r>
        <w:rPr>
          <w:rFonts w:hint="eastAsia" w:ascii="仿宋" w:hAnsi="仿宋" w:eastAsia="仿宋" w:cs="仿宋"/>
          <w:iCs/>
          <w:color w:val="auto"/>
          <w:sz w:val="24"/>
          <w:highlight w:val="none"/>
          <w:u w:val="single"/>
        </w:rPr>
        <w:t>十七、其他证明文件</w:t>
      </w:r>
    </w:p>
    <w:p w14:paraId="4C8B1BD1">
      <w:pPr>
        <w:spacing w:line="360" w:lineRule="auto"/>
        <w:jc w:val="left"/>
        <w:rPr>
          <w:rFonts w:hint="default" w:ascii="仿宋" w:hAnsi="仿宋" w:eastAsia="仿宋" w:cs="仿宋"/>
          <w:b w:val="0"/>
          <w:bCs w:val="0"/>
          <w:iCs/>
          <w:color w:val="auto"/>
          <w:sz w:val="24"/>
          <w:szCs w:val="21"/>
          <w:highlight w:val="none"/>
          <w:u w:val="single"/>
          <w:lang w:val="en-US" w:eastAsia="zh-CN"/>
        </w:rPr>
      </w:pPr>
      <w:r>
        <w:rPr>
          <w:rFonts w:hint="eastAsia" w:ascii="仿宋" w:hAnsi="仿宋" w:eastAsia="仿宋" w:cs="仿宋"/>
          <w:iCs/>
          <w:color w:val="auto"/>
          <w:sz w:val="24"/>
          <w:highlight w:val="none"/>
          <w:u w:val="single"/>
          <w:lang w:val="en-US" w:eastAsia="zh-CN"/>
        </w:rPr>
        <w:t>附件1、</w:t>
      </w:r>
      <w:r>
        <w:rPr>
          <w:rFonts w:hint="eastAsia" w:ascii="仿宋" w:hAnsi="仿宋" w:eastAsia="仿宋" w:cs="仿宋"/>
          <w:b w:val="0"/>
          <w:bCs w:val="0"/>
          <w:iCs/>
          <w:color w:val="auto"/>
          <w:sz w:val="24"/>
          <w:szCs w:val="21"/>
          <w:highlight w:val="none"/>
          <w:u w:val="single"/>
        </w:rPr>
        <w:t>规范招投标及履约行为提醒单</w:t>
      </w:r>
      <w:r>
        <w:rPr>
          <w:rFonts w:hint="eastAsia" w:ascii="仿宋" w:hAnsi="仿宋" w:eastAsia="仿宋" w:cs="仿宋"/>
          <w:b w:val="0"/>
          <w:bCs w:val="0"/>
          <w:iCs/>
          <w:color w:val="auto"/>
          <w:sz w:val="24"/>
          <w:szCs w:val="21"/>
          <w:highlight w:val="none"/>
          <w:u w:val="single"/>
          <w:lang w:eastAsia="zh-CN"/>
        </w:rPr>
        <w:t>（</w:t>
      </w:r>
      <w:r>
        <w:rPr>
          <w:rFonts w:hint="eastAsia" w:ascii="仿宋" w:hAnsi="仿宋" w:eastAsia="仿宋" w:cs="仿宋"/>
          <w:b w:val="0"/>
          <w:bCs w:val="0"/>
          <w:iCs/>
          <w:color w:val="auto"/>
          <w:sz w:val="24"/>
          <w:szCs w:val="21"/>
          <w:highlight w:val="none"/>
          <w:u w:val="single"/>
          <w:lang w:val="en-US" w:eastAsia="zh-CN"/>
        </w:rPr>
        <w:t>请将本提醒单填写并盖章后放在投标文件最后一页）</w:t>
      </w:r>
    </w:p>
    <w:p w14:paraId="18D57336">
      <w:pPr>
        <w:rPr>
          <w:rFonts w:hint="eastAsia" w:ascii="仿宋" w:hAnsi="仿宋" w:eastAsia="仿宋" w:cs="仿宋"/>
          <w:b w:val="0"/>
          <w:bCs w:val="0"/>
          <w:iCs/>
          <w:color w:val="auto"/>
          <w:sz w:val="24"/>
          <w:szCs w:val="21"/>
          <w:highlight w:val="none"/>
          <w:u w:val="single"/>
        </w:rPr>
      </w:pPr>
      <w:r>
        <w:rPr>
          <w:rFonts w:hint="eastAsia" w:ascii="仿宋" w:hAnsi="仿宋" w:eastAsia="仿宋" w:cs="仿宋"/>
          <w:b w:val="0"/>
          <w:bCs w:val="0"/>
          <w:iCs/>
          <w:color w:val="auto"/>
          <w:sz w:val="24"/>
          <w:szCs w:val="21"/>
          <w:highlight w:val="none"/>
          <w:u w:val="single"/>
        </w:rPr>
        <w:br w:type="page"/>
      </w:r>
    </w:p>
    <w:p w14:paraId="5789C931">
      <w:pPr>
        <w:pStyle w:val="191"/>
        <w:spacing w:before="0" w:after="100" w:line="360" w:lineRule="auto"/>
        <w:rPr>
          <w:rFonts w:ascii="仿宋" w:hAnsi="仿宋" w:eastAsia="仿宋" w:cs="仿宋"/>
          <w:i/>
          <w:color w:val="auto"/>
          <w:sz w:val="36"/>
          <w:szCs w:val="36"/>
          <w:highlight w:val="none"/>
          <w:u w:val="single"/>
        </w:rPr>
      </w:pPr>
      <w:bookmarkStart w:id="344" w:name="_Toc12938"/>
      <w:bookmarkStart w:id="345" w:name="_Toc16649"/>
      <w:r>
        <w:rPr>
          <w:rFonts w:hint="eastAsia" w:ascii="仿宋" w:hAnsi="仿宋" w:eastAsia="仿宋" w:cs="仿宋"/>
          <w:i/>
          <w:color w:val="auto"/>
          <w:sz w:val="36"/>
          <w:szCs w:val="36"/>
          <w:highlight w:val="none"/>
          <w:u w:val="single"/>
        </w:rPr>
        <w:t>资格证明文件（第一项-第七项）</w:t>
      </w:r>
      <w:bookmarkEnd w:id="344"/>
      <w:bookmarkEnd w:id="345"/>
    </w:p>
    <w:p w14:paraId="30C4AA81">
      <w:pPr>
        <w:spacing w:line="360" w:lineRule="auto"/>
        <w:rPr>
          <w:color w:val="auto"/>
          <w:highlight w:val="none"/>
        </w:rPr>
      </w:pPr>
    </w:p>
    <w:p w14:paraId="1D123750">
      <w:pPr>
        <w:pStyle w:val="191"/>
        <w:spacing w:before="0" w:after="100" w:line="360" w:lineRule="auto"/>
        <w:jc w:val="both"/>
        <w:rPr>
          <w:rFonts w:hint="eastAsia" w:ascii="仿宋" w:hAnsi="仿宋" w:eastAsia="仿宋" w:cs="仿宋"/>
          <w:iCs/>
          <w:color w:val="auto"/>
          <w:sz w:val="32"/>
          <w:szCs w:val="32"/>
          <w:highlight w:val="none"/>
          <w:lang w:val="en-US" w:eastAsia="zh-CN"/>
        </w:rPr>
      </w:pPr>
      <w:bookmarkStart w:id="346" w:name="_Toc12526"/>
      <w:bookmarkStart w:id="347" w:name="_Toc22288"/>
      <w:r>
        <w:rPr>
          <w:rFonts w:hint="eastAsia" w:ascii="仿宋" w:hAnsi="仿宋" w:eastAsia="仿宋" w:cs="仿宋"/>
          <w:iCs/>
          <w:color w:val="auto"/>
          <w:sz w:val="32"/>
          <w:szCs w:val="32"/>
          <w:highlight w:val="none"/>
          <w:lang w:val="en-US" w:eastAsia="zh-CN"/>
        </w:rPr>
        <w:t>一、具有独立承担民事责任的能力（提供营业执照，自然人的身份证并加盖公章）</w:t>
      </w:r>
      <w:bookmarkEnd w:id="346"/>
      <w:bookmarkEnd w:id="347"/>
    </w:p>
    <w:p w14:paraId="2C7DAB06">
      <w:pPr>
        <w:spacing w:line="360" w:lineRule="auto"/>
        <w:rPr>
          <w:color w:val="auto"/>
          <w:highlight w:val="none"/>
        </w:rPr>
      </w:pPr>
    </w:p>
    <w:p w14:paraId="30E48FFD">
      <w:pPr>
        <w:pStyle w:val="191"/>
        <w:spacing w:before="0" w:after="100" w:line="360" w:lineRule="auto"/>
        <w:jc w:val="both"/>
        <w:rPr>
          <w:rFonts w:hint="eastAsia" w:ascii="仿宋" w:hAnsi="仿宋" w:eastAsia="仿宋" w:cs="仿宋"/>
          <w:iCs/>
          <w:color w:val="auto"/>
          <w:sz w:val="32"/>
          <w:szCs w:val="32"/>
          <w:highlight w:val="none"/>
          <w:lang w:val="en-US" w:eastAsia="zh-CN"/>
        </w:rPr>
      </w:pPr>
      <w:bookmarkStart w:id="348" w:name="_Toc12415"/>
      <w:bookmarkStart w:id="349" w:name="_Toc18731"/>
      <w:r>
        <w:rPr>
          <w:rFonts w:hint="eastAsia" w:ascii="仿宋" w:hAnsi="仿宋" w:eastAsia="仿宋" w:cs="仿宋"/>
          <w:iCs/>
          <w:color w:val="auto"/>
          <w:sz w:val="32"/>
          <w:szCs w:val="32"/>
          <w:highlight w:val="none"/>
          <w:lang w:val="en-US" w:eastAsia="zh-CN"/>
        </w:rPr>
        <w:t>二、具有良好的商业信誉和健全的财务会计制度（提供上一年度的财务状况报告（成立不满1年不需提供。若2025年财务状况报告未完成，可提交2024年的财务状况或近1年任意1个月的财务报表））</w:t>
      </w:r>
      <w:bookmarkEnd w:id="348"/>
      <w:bookmarkEnd w:id="349"/>
    </w:p>
    <w:p w14:paraId="72EC1452">
      <w:pPr>
        <w:spacing w:line="360" w:lineRule="auto"/>
        <w:rPr>
          <w:rFonts w:hint="default" w:ascii="Times New Roman" w:hAnsi="Times New Roman" w:eastAsia="宋体" w:cs="Times New Roman"/>
          <w:iCs w:val="0"/>
          <w:color w:val="auto"/>
          <w:sz w:val="21"/>
          <w:szCs w:val="21"/>
          <w:highlight w:val="none"/>
          <w:lang w:val="en-US" w:eastAsia="zh-CN"/>
        </w:rPr>
      </w:pPr>
      <w:bookmarkStart w:id="350" w:name="_Toc16111"/>
      <w:bookmarkStart w:id="351" w:name="_Toc2361"/>
    </w:p>
    <w:p w14:paraId="0DA47836">
      <w:pPr>
        <w:pStyle w:val="191"/>
        <w:spacing w:before="0" w:after="100" w:line="360" w:lineRule="auto"/>
        <w:jc w:val="both"/>
        <w:rPr>
          <w:rFonts w:hint="eastAsia" w:ascii="仿宋" w:hAnsi="仿宋" w:eastAsia="仿宋" w:cs="仿宋"/>
          <w:iCs/>
          <w:color w:val="auto"/>
          <w:sz w:val="32"/>
          <w:szCs w:val="32"/>
          <w:highlight w:val="none"/>
        </w:rPr>
      </w:pPr>
      <w:bookmarkStart w:id="352" w:name="_Toc13380"/>
      <w:r>
        <w:rPr>
          <w:rFonts w:hint="eastAsia" w:ascii="仿宋" w:hAnsi="仿宋" w:eastAsia="仿宋" w:cs="仿宋"/>
          <w:iCs/>
          <w:color w:val="auto"/>
          <w:sz w:val="32"/>
          <w:szCs w:val="32"/>
          <w:highlight w:val="none"/>
          <w:lang w:val="en-US" w:eastAsia="zh-CN"/>
        </w:rPr>
        <w:t>三、</w:t>
      </w:r>
      <w:bookmarkEnd w:id="337"/>
      <w:bookmarkEnd w:id="338"/>
      <w:bookmarkEnd w:id="339"/>
      <w:bookmarkEnd w:id="350"/>
      <w:bookmarkStart w:id="353" w:name="_Toc120614284"/>
      <w:r>
        <w:rPr>
          <w:rFonts w:hint="eastAsia" w:ascii="仿宋" w:hAnsi="仿宋" w:eastAsia="仿宋" w:cs="仿宋"/>
          <w:iCs/>
          <w:color w:val="auto"/>
          <w:sz w:val="32"/>
          <w:szCs w:val="32"/>
          <w:highlight w:val="none"/>
          <w:lang w:val="en-US" w:eastAsia="zh-CN"/>
        </w:rPr>
        <w:t>具有依法缴纳税收和社会保障资金的良好记录（提供提交投标文件截止时间前1年内至少一个月依法缴纳税收及缴纳社会保障资金的证明材料。投标人依法享受缓缴、免缴税收、社会保障资金的提供证明材料）</w:t>
      </w:r>
      <w:bookmarkEnd w:id="351"/>
      <w:bookmarkEnd w:id="352"/>
      <w:bookmarkStart w:id="354" w:name="_Toc19161"/>
    </w:p>
    <w:p w14:paraId="77E61030">
      <w:pPr>
        <w:spacing w:line="360" w:lineRule="auto"/>
        <w:rPr>
          <w:rFonts w:hint="default" w:ascii="Times New Roman" w:hAnsi="Times New Roman" w:eastAsia="宋体" w:cs="Times New Roman"/>
          <w:iCs w:val="0"/>
          <w:color w:val="auto"/>
          <w:sz w:val="21"/>
          <w:szCs w:val="21"/>
          <w:highlight w:val="none"/>
        </w:rPr>
      </w:pPr>
    </w:p>
    <w:p w14:paraId="21ABF833">
      <w:pPr>
        <w:pStyle w:val="191"/>
        <w:spacing w:before="0" w:after="100" w:line="360" w:lineRule="auto"/>
        <w:jc w:val="both"/>
        <w:rPr>
          <w:rFonts w:ascii="仿宋" w:hAnsi="仿宋" w:eastAsia="仿宋" w:cs="仿宋"/>
          <w:iCs/>
          <w:color w:val="auto"/>
          <w:sz w:val="32"/>
          <w:szCs w:val="32"/>
          <w:highlight w:val="none"/>
        </w:rPr>
      </w:pPr>
      <w:bookmarkStart w:id="355" w:name="_Toc2426"/>
      <w:bookmarkStart w:id="356" w:name="_Toc11549"/>
      <w:r>
        <w:rPr>
          <w:rFonts w:hint="eastAsia" w:ascii="仿宋" w:hAnsi="仿宋" w:eastAsia="仿宋" w:cs="仿宋"/>
          <w:iCs/>
          <w:color w:val="auto"/>
          <w:sz w:val="32"/>
          <w:szCs w:val="32"/>
          <w:highlight w:val="none"/>
          <w:lang w:val="en-US" w:eastAsia="zh-CN"/>
        </w:rPr>
        <w:t>四、具备履行合同所必需的设备和专业技术能力的书面声明</w:t>
      </w:r>
      <w:bookmarkEnd w:id="354"/>
      <w:bookmarkEnd w:id="355"/>
      <w:bookmarkEnd w:id="356"/>
    </w:p>
    <w:p w14:paraId="662E09A6">
      <w:pPr>
        <w:spacing w:line="360" w:lineRule="auto"/>
        <w:rPr>
          <w:rFonts w:ascii="仿宋" w:hAnsi="仿宋" w:eastAsia="仿宋" w:cs="仿宋"/>
          <w:bCs/>
          <w:color w:val="auto"/>
          <w:sz w:val="24"/>
          <w:highlight w:val="none"/>
        </w:rPr>
      </w:pPr>
    </w:p>
    <w:p w14:paraId="5991BF84">
      <w:pPr>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致：江苏柒采招标代理有限公司</w:t>
      </w:r>
    </w:p>
    <w:p w14:paraId="1F918D82">
      <w:pPr>
        <w:spacing w:line="360" w:lineRule="auto"/>
        <w:ind w:firstLine="492"/>
        <w:rPr>
          <w:rFonts w:ascii="仿宋" w:hAnsi="仿宋" w:eastAsia="仿宋" w:cs="仿宋"/>
          <w:bCs/>
          <w:color w:val="auto"/>
          <w:sz w:val="24"/>
          <w:highlight w:val="none"/>
        </w:rPr>
      </w:pPr>
      <w:r>
        <w:rPr>
          <w:rFonts w:hint="eastAsia" w:ascii="仿宋" w:hAnsi="仿宋" w:eastAsia="仿宋" w:cs="仿宋"/>
          <w:bCs/>
          <w:color w:val="auto"/>
          <w:sz w:val="24"/>
          <w:highlight w:val="none"/>
        </w:rPr>
        <w:t>我单位郑重声明：我单位具备履行本项采购合同所必需的设备和专业技术能力，为履行本项采购合同我公司具备如下主要设备和主要专业技术能力：</w:t>
      </w:r>
    </w:p>
    <w:p w14:paraId="4FC3653B">
      <w:pPr>
        <w:spacing w:line="360" w:lineRule="auto"/>
        <w:ind w:firstLine="492"/>
        <w:rPr>
          <w:rFonts w:ascii="仿宋" w:hAnsi="仿宋" w:eastAsia="仿宋" w:cs="仿宋"/>
          <w:bCs/>
          <w:color w:val="auto"/>
          <w:sz w:val="24"/>
          <w:highlight w:val="none"/>
        </w:rPr>
      </w:pPr>
      <w:r>
        <w:rPr>
          <w:rFonts w:hint="eastAsia" w:ascii="仿宋" w:hAnsi="仿宋" w:eastAsia="仿宋" w:cs="仿宋"/>
          <w:bCs/>
          <w:color w:val="auto"/>
          <w:sz w:val="24"/>
          <w:highlight w:val="none"/>
        </w:rPr>
        <w:t>主要设备有：</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w:t>
      </w:r>
    </w:p>
    <w:p w14:paraId="02A6A08D">
      <w:pPr>
        <w:spacing w:line="360" w:lineRule="auto"/>
        <w:ind w:firstLine="492"/>
        <w:rPr>
          <w:rFonts w:ascii="仿宋" w:hAnsi="仿宋" w:eastAsia="仿宋" w:cs="仿宋"/>
          <w:bCs/>
          <w:color w:val="auto"/>
          <w:sz w:val="24"/>
          <w:highlight w:val="none"/>
        </w:rPr>
      </w:pPr>
      <w:r>
        <w:rPr>
          <w:rFonts w:hint="eastAsia" w:ascii="仿宋" w:hAnsi="仿宋" w:eastAsia="仿宋" w:cs="仿宋"/>
          <w:bCs/>
          <w:color w:val="auto"/>
          <w:sz w:val="24"/>
          <w:highlight w:val="none"/>
        </w:rPr>
        <w:t>主要专业技术能力有：</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w:t>
      </w:r>
    </w:p>
    <w:p w14:paraId="34B3FE4D">
      <w:pPr>
        <w:spacing w:line="360" w:lineRule="auto"/>
        <w:rPr>
          <w:color w:val="auto"/>
          <w:highlight w:val="none"/>
        </w:rPr>
      </w:pPr>
    </w:p>
    <w:p w14:paraId="6CCBAC6E">
      <w:pPr>
        <w:spacing w:line="360" w:lineRule="auto"/>
        <w:ind w:right="180" w:firstLine="36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投标人（加盖公章）：</w:t>
      </w:r>
    </w:p>
    <w:p w14:paraId="3C82F3D7">
      <w:pPr>
        <w:spacing w:line="360" w:lineRule="auto"/>
        <w:ind w:right="180" w:firstLine="36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法人或授权代表（签字）：</w:t>
      </w:r>
    </w:p>
    <w:p w14:paraId="6908B4FA">
      <w:pPr>
        <w:spacing w:line="360" w:lineRule="auto"/>
        <w:ind w:right="480"/>
        <w:jc w:val="center"/>
        <w:rPr>
          <w:color w:val="auto"/>
          <w:highlight w:val="none"/>
        </w:rPr>
      </w:pPr>
      <w:r>
        <w:rPr>
          <w:rFonts w:hint="eastAsia" w:ascii="仿宋" w:hAnsi="仿宋" w:eastAsia="仿宋" w:cs="仿宋"/>
          <w:color w:val="auto"/>
          <w:sz w:val="24"/>
          <w:szCs w:val="24"/>
          <w:highlight w:val="none"/>
        </w:rPr>
        <w:t xml:space="preserve">                         日  期：</w:t>
      </w:r>
      <w:r>
        <w:rPr>
          <w:rFonts w:hint="eastAsia" w:ascii="仿宋" w:hAnsi="仿宋" w:eastAsia="仿宋" w:cs="仿宋"/>
          <w:bCs/>
          <w:color w:val="auto"/>
          <w:sz w:val="24"/>
          <w:highlight w:val="none"/>
        </w:rPr>
        <w:t xml:space="preserve">   </w:t>
      </w:r>
      <w:r>
        <w:rPr>
          <w:rFonts w:hint="eastAsia"/>
          <w:color w:val="auto"/>
          <w:highlight w:val="none"/>
        </w:rPr>
        <w:t xml:space="preserve">                               </w:t>
      </w:r>
    </w:p>
    <w:p w14:paraId="646E1878">
      <w:pPr>
        <w:pStyle w:val="191"/>
        <w:spacing w:before="0" w:after="100" w:line="360" w:lineRule="auto"/>
        <w:jc w:val="both"/>
        <w:rPr>
          <w:rFonts w:ascii="仿宋" w:hAnsi="仿宋" w:eastAsia="仿宋" w:cs="仿宋"/>
          <w:b w:val="0"/>
          <w:bCs w:val="0"/>
          <w:color w:val="auto"/>
          <w:sz w:val="36"/>
          <w:szCs w:val="36"/>
          <w:highlight w:val="none"/>
        </w:rPr>
      </w:pPr>
      <w:bookmarkStart w:id="357" w:name="_Toc28796"/>
      <w:bookmarkStart w:id="358" w:name="_Toc778"/>
      <w:bookmarkStart w:id="359" w:name="_Toc24498"/>
      <w:r>
        <w:rPr>
          <w:rFonts w:hint="eastAsia" w:ascii="仿宋" w:hAnsi="仿宋" w:eastAsia="仿宋" w:cs="仿宋"/>
          <w:iCs/>
          <w:color w:val="auto"/>
          <w:sz w:val="32"/>
          <w:szCs w:val="32"/>
          <w:highlight w:val="none"/>
        </w:rPr>
        <w:t>五、参加政府采购活动前3年内在经营活动中没有重大违法记录的书面声明</w:t>
      </w:r>
      <w:bookmarkEnd w:id="357"/>
      <w:bookmarkEnd w:id="358"/>
      <w:bookmarkEnd w:id="359"/>
      <w:r>
        <w:rPr>
          <w:rFonts w:hint="eastAsia" w:ascii="仿宋" w:hAnsi="仿宋" w:eastAsia="仿宋" w:cs="仿宋"/>
          <w:b w:val="0"/>
          <w:bCs w:val="0"/>
          <w:color w:val="auto"/>
          <w:highlight w:val="none"/>
        </w:rPr>
        <w:t xml:space="preserve">       </w:t>
      </w:r>
      <w:r>
        <w:rPr>
          <w:rFonts w:hint="eastAsia" w:ascii="仿宋" w:hAnsi="仿宋" w:eastAsia="仿宋" w:cs="仿宋"/>
          <w:b w:val="0"/>
          <w:bCs w:val="0"/>
          <w:color w:val="auto"/>
          <w:sz w:val="36"/>
          <w:szCs w:val="36"/>
          <w:highlight w:val="none"/>
        </w:rPr>
        <w:t xml:space="preserve">    </w:t>
      </w:r>
    </w:p>
    <w:p w14:paraId="2B24EA60">
      <w:pPr>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致：江苏柒采招标代理有限公司</w:t>
      </w:r>
    </w:p>
    <w:p w14:paraId="5576651E">
      <w:pPr>
        <w:spacing w:line="360" w:lineRule="auto"/>
        <w:rPr>
          <w:rFonts w:ascii="仿宋" w:hAnsi="仿宋" w:eastAsia="仿宋" w:cs="仿宋"/>
          <w:bCs/>
          <w:color w:val="auto"/>
          <w:sz w:val="24"/>
          <w:highlight w:val="none"/>
        </w:rPr>
      </w:pPr>
      <w:r>
        <w:rPr>
          <w:rFonts w:hint="eastAsia" w:ascii="仿宋" w:hAnsi="仿宋" w:eastAsia="仿宋" w:cs="仿宋"/>
          <w:b/>
          <w:bCs/>
          <w:color w:val="auto"/>
          <w:sz w:val="24"/>
          <w:highlight w:val="none"/>
        </w:rPr>
        <w:t xml:space="preserve">   </w:t>
      </w:r>
      <w:r>
        <w:rPr>
          <w:rFonts w:hint="eastAsia" w:ascii="仿宋" w:hAnsi="仿宋" w:eastAsia="仿宋" w:cs="仿宋"/>
          <w:bCs/>
          <w:color w:val="auto"/>
          <w:sz w:val="24"/>
          <w:highlight w:val="none"/>
        </w:rPr>
        <w:t>我单位郑重声明：参加本次政府采购活动前3年内，我单位在经营活动中没有因违法经营受到刑事处罚或者责令停产停业、吊销许可证或者执照、较大数额罚款等行政处罚。</w:t>
      </w:r>
    </w:p>
    <w:p w14:paraId="50CFAC1F">
      <w:pPr>
        <w:spacing w:line="360" w:lineRule="auto"/>
        <w:rPr>
          <w:color w:val="auto"/>
          <w:highlight w:val="none"/>
        </w:rPr>
      </w:pPr>
    </w:p>
    <w:p w14:paraId="400AC120">
      <w:pPr>
        <w:spacing w:line="360" w:lineRule="auto"/>
        <w:ind w:right="180" w:firstLine="36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投标人（加盖公章）：</w:t>
      </w:r>
    </w:p>
    <w:p w14:paraId="0052066D">
      <w:pPr>
        <w:spacing w:line="360" w:lineRule="auto"/>
        <w:ind w:right="180" w:firstLine="36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法人或授权代表（签字）：</w:t>
      </w:r>
    </w:p>
    <w:p w14:paraId="26E64EAB">
      <w:pPr>
        <w:spacing w:line="360" w:lineRule="auto"/>
        <w:ind w:right="48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日  期：</w:t>
      </w:r>
    </w:p>
    <w:p w14:paraId="064B1E6C">
      <w:pPr>
        <w:spacing w:line="360" w:lineRule="auto"/>
        <w:rPr>
          <w:rFonts w:hint="default" w:ascii="Times New Roman" w:hAnsi="Times New Roman" w:eastAsia="宋体" w:cs="Times New Roman"/>
          <w:iCs w:val="0"/>
          <w:color w:val="auto"/>
          <w:sz w:val="21"/>
          <w:szCs w:val="21"/>
          <w:highlight w:val="none"/>
        </w:rPr>
      </w:pPr>
      <w:bookmarkStart w:id="360" w:name="_Toc17108"/>
    </w:p>
    <w:p w14:paraId="2CD91457">
      <w:pPr>
        <w:spacing w:line="360" w:lineRule="auto"/>
        <w:rPr>
          <w:rFonts w:hint="default" w:ascii="Times New Roman" w:hAnsi="Times New Roman" w:eastAsia="宋体" w:cs="Times New Roman"/>
          <w:iCs w:val="0"/>
          <w:color w:val="auto"/>
          <w:sz w:val="21"/>
          <w:szCs w:val="21"/>
          <w:highlight w:val="none"/>
        </w:rPr>
      </w:pPr>
      <w:bookmarkStart w:id="361" w:name="_Toc19938"/>
    </w:p>
    <w:p w14:paraId="3B51E86F">
      <w:pPr>
        <w:pStyle w:val="191"/>
        <w:spacing w:before="0" w:after="100" w:line="360" w:lineRule="auto"/>
        <w:jc w:val="both"/>
        <w:rPr>
          <w:rFonts w:ascii="仿宋" w:hAnsi="仿宋" w:eastAsia="仿宋" w:cs="仿宋"/>
          <w:iCs/>
          <w:color w:val="auto"/>
          <w:sz w:val="32"/>
          <w:szCs w:val="32"/>
          <w:highlight w:val="none"/>
        </w:rPr>
      </w:pPr>
      <w:bookmarkStart w:id="362" w:name="_Toc12028"/>
      <w:r>
        <w:rPr>
          <w:rFonts w:hint="eastAsia" w:ascii="仿宋" w:hAnsi="仿宋" w:eastAsia="仿宋" w:cs="仿宋"/>
          <w:iCs/>
          <w:color w:val="auto"/>
          <w:sz w:val="32"/>
          <w:szCs w:val="32"/>
          <w:highlight w:val="none"/>
        </w:rPr>
        <w:t>六、特定资格要求的证明文件</w:t>
      </w:r>
      <w:bookmarkEnd w:id="360"/>
      <w:bookmarkEnd w:id="361"/>
      <w:bookmarkEnd w:id="362"/>
    </w:p>
    <w:p w14:paraId="009B1C92">
      <w:pPr>
        <w:spacing w:line="360" w:lineRule="auto"/>
        <w:ind w:firstLine="480"/>
        <w:rPr>
          <w:rFonts w:hint="eastAsia" w:ascii="仿宋" w:hAnsi="仿宋" w:eastAsia="仿宋" w:cs="仿宋"/>
          <w:color w:val="auto"/>
          <w:sz w:val="24"/>
          <w:highlight w:val="none"/>
        </w:rPr>
      </w:pPr>
      <w:r>
        <w:rPr>
          <w:rFonts w:hint="eastAsia" w:ascii="仿宋" w:hAnsi="仿宋" w:eastAsia="仿宋" w:cs="仿宋"/>
          <w:color w:val="auto"/>
          <w:sz w:val="24"/>
          <w:highlight w:val="none"/>
        </w:rPr>
        <w:t>如果本项目申请人的特定资格要求中要求提供的，必须提供。</w:t>
      </w:r>
    </w:p>
    <w:p w14:paraId="4AE37995">
      <w:pPr>
        <w:spacing w:line="360" w:lineRule="auto"/>
        <w:rPr>
          <w:color w:val="auto"/>
          <w:highlight w:val="none"/>
        </w:rPr>
      </w:pPr>
      <w:bookmarkStart w:id="363" w:name="_Toc5587"/>
    </w:p>
    <w:p w14:paraId="5EA636CA">
      <w:pPr>
        <w:spacing w:line="360" w:lineRule="auto"/>
        <w:rPr>
          <w:color w:val="auto"/>
          <w:highlight w:val="none"/>
        </w:rPr>
      </w:pPr>
    </w:p>
    <w:p w14:paraId="41C0F43F">
      <w:pPr>
        <w:pStyle w:val="191"/>
        <w:spacing w:before="0" w:after="100" w:line="360" w:lineRule="auto"/>
        <w:jc w:val="both"/>
        <w:rPr>
          <w:rFonts w:ascii="仿宋" w:hAnsi="仿宋" w:eastAsia="仿宋" w:cs="仿宋"/>
          <w:iCs/>
          <w:color w:val="auto"/>
          <w:sz w:val="32"/>
          <w:szCs w:val="32"/>
          <w:highlight w:val="none"/>
        </w:rPr>
      </w:pPr>
      <w:bookmarkStart w:id="364" w:name="_Toc25238"/>
      <w:bookmarkStart w:id="365" w:name="_Toc3957"/>
      <w:r>
        <w:rPr>
          <w:rFonts w:hint="eastAsia" w:ascii="仿宋" w:hAnsi="仿宋" w:eastAsia="仿宋" w:cs="仿宋"/>
          <w:iCs/>
          <w:color w:val="auto"/>
          <w:sz w:val="32"/>
          <w:szCs w:val="32"/>
          <w:highlight w:val="none"/>
        </w:rPr>
        <w:t>七、承诺函</w:t>
      </w:r>
      <w:bookmarkEnd w:id="364"/>
      <w:bookmarkEnd w:id="365"/>
    </w:p>
    <w:p w14:paraId="41004144">
      <w:pPr>
        <w:spacing w:line="360" w:lineRule="auto"/>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致：江苏柒采招标代理有限公司</w:t>
      </w:r>
    </w:p>
    <w:p w14:paraId="110A8B8B">
      <w:pPr>
        <w:widowControl/>
        <w:spacing w:line="360" w:lineRule="auto"/>
        <w:ind w:firstLine="44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根据贵方</w:t>
      </w:r>
      <w:r>
        <w:rPr>
          <w:rFonts w:hint="eastAsia" w:ascii="仿宋" w:hAnsi="仿宋" w:eastAsia="仿宋" w:cs="仿宋"/>
          <w:color w:val="auto"/>
          <w:sz w:val="24"/>
          <w:szCs w:val="24"/>
          <w:highlight w:val="none"/>
          <w:u w:val="single"/>
          <w:lang w:eastAsia="zh-CN"/>
        </w:rPr>
        <w:t>高速公路交通情况统计调查、路网运行监测与管控辅助服务</w:t>
      </w:r>
      <w:r>
        <w:rPr>
          <w:rFonts w:hint="eastAsia" w:ascii="仿宋" w:hAnsi="仿宋" w:eastAsia="仿宋" w:cs="仿宋"/>
          <w:color w:val="auto"/>
          <w:sz w:val="24"/>
          <w:szCs w:val="24"/>
          <w:highlight w:val="none"/>
          <w:u w:val="single"/>
        </w:rPr>
        <w:t>（项目编号</w:t>
      </w:r>
      <w:r>
        <w:rPr>
          <w:rFonts w:hint="eastAsia" w:ascii="仿宋" w:hAnsi="仿宋" w:eastAsia="仿宋" w:cs="仿宋"/>
          <w:color w:val="auto"/>
          <w:sz w:val="24"/>
          <w:szCs w:val="24"/>
          <w:highlight w:val="none"/>
          <w:u w:val="single"/>
          <w:lang w:eastAsia="zh-CN"/>
        </w:rPr>
        <w:t>：JSZC-320000-JSQC-G2026-0027</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招标公告，我公司郑重承诺：在参加本次政府采购活</w:t>
      </w:r>
      <w:r>
        <w:rPr>
          <w:rFonts w:hint="eastAsia" w:ascii="仿宋" w:hAnsi="仿宋" w:eastAsia="仿宋" w:cs="仿宋"/>
          <w:color w:val="auto"/>
          <w:sz w:val="24"/>
          <w:szCs w:val="24"/>
          <w:highlight w:val="none"/>
          <w:lang w:eastAsia="zh-CN"/>
        </w:rPr>
        <w:t>动中</w:t>
      </w:r>
      <w:r>
        <w:rPr>
          <w:rFonts w:hint="eastAsia" w:ascii="仿宋" w:hAnsi="仿宋" w:eastAsia="仿宋" w:cs="仿宋"/>
          <w:color w:val="auto"/>
          <w:sz w:val="24"/>
          <w:szCs w:val="24"/>
          <w:highlight w:val="none"/>
        </w:rPr>
        <w:t>不存在（1）负责人为同一人或者存在直接控股、管理关系的不同投标人，参加同一合同项下的政府采购活动。（2）投标人被“信用中国”（www.creditchina.gov.cn）、“中国政府采购网"（www.ccgp.gov.cn）等网站列入失信被执行人、</w:t>
      </w:r>
      <w:r>
        <w:rPr>
          <w:rFonts w:hint="eastAsia" w:ascii="仿宋" w:hAnsi="仿宋" w:eastAsia="仿宋" w:cs="仿宋"/>
          <w:color w:val="auto"/>
          <w:sz w:val="24"/>
          <w:szCs w:val="24"/>
          <w:highlight w:val="none"/>
          <w:lang w:eastAsia="zh-CN"/>
        </w:rPr>
        <w:t>重大税收违法失信主体名单</w:t>
      </w:r>
      <w:r>
        <w:rPr>
          <w:rFonts w:hint="eastAsia" w:ascii="仿宋" w:hAnsi="仿宋" w:eastAsia="仿宋" w:cs="仿宋"/>
          <w:color w:val="auto"/>
          <w:sz w:val="24"/>
          <w:szCs w:val="24"/>
          <w:highlight w:val="none"/>
        </w:rPr>
        <w:t>、政府采购严重违法失信行为记录名单。（3）</w:t>
      </w:r>
      <w:r>
        <w:rPr>
          <w:rFonts w:hint="eastAsia" w:ascii="仿宋" w:hAnsi="仿宋" w:eastAsia="仿宋" w:cs="仿宋"/>
          <w:color w:val="auto"/>
          <w:sz w:val="24"/>
          <w:szCs w:val="24"/>
          <w:highlight w:val="none"/>
          <w:lang w:val="en-US" w:eastAsia="zh-CN"/>
        </w:rPr>
        <w:t>为</w:t>
      </w:r>
      <w:r>
        <w:rPr>
          <w:rFonts w:hint="eastAsia" w:ascii="仿宋" w:hAnsi="仿宋" w:eastAsia="仿宋" w:cs="仿宋"/>
          <w:color w:val="auto"/>
          <w:sz w:val="24"/>
          <w:szCs w:val="24"/>
          <w:highlight w:val="none"/>
        </w:rPr>
        <w:t>采购项目提供整体设计、规范编制或者项目管理、监理、检测等服务的投标人参加本项目的采购活动。</w:t>
      </w:r>
    </w:p>
    <w:p w14:paraId="5FF83605">
      <w:pPr>
        <w:widowControl/>
        <w:spacing w:line="360" w:lineRule="auto"/>
        <w:ind w:firstLine="66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特此承诺！</w:t>
      </w:r>
    </w:p>
    <w:p w14:paraId="17B2BF67">
      <w:pPr>
        <w:widowControl/>
        <w:spacing w:line="360" w:lineRule="auto"/>
        <w:ind w:firstLine="660"/>
        <w:rPr>
          <w:rFonts w:ascii="仿宋" w:hAnsi="仿宋" w:eastAsia="仿宋" w:cs="仿宋"/>
          <w:color w:val="auto"/>
          <w:sz w:val="24"/>
          <w:szCs w:val="24"/>
          <w:highlight w:val="none"/>
        </w:rPr>
      </w:pPr>
    </w:p>
    <w:p w14:paraId="05F9A00E">
      <w:pPr>
        <w:spacing w:line="360" w:lineRule="auto"/>
        <w:ind w:right="180" w:firstLine="36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投标人（加盖公章）：</w:t>
      </w:r>
    </w:p>
    <w:p w14:paraId="77CF9768">
      <w:pPr>
        <w:spacing w:line="360" w:lineRule="auto"/>
        <w:ind w:right="180" w:firstLine="36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法人或授权代表（签字）：</w:t>
      </w:r>
    </w:p>
    <w:p w14:paraId="26CBF734">
      <w:pPr>
        <w:spacing w:line="360" w:lineRule="auto"/>
        <w:ind w:right="480"/>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日  期：</w:t>
      </w:r>
    </w:p>
    <w:p w14:paraId="1CB2C3E9">
      <w:pPr>
        <w:pStyle w:val="191"/>
        <w:spacing w:before="0" w:after="100" w:line="360" w:lineRule="auto"/>
        <w:jc w:val="both"/>
        <w:rPr>
          <w:rFonts w:ascii="仿宋" w:hAnsi="仿宋" w:eastAsia="仿宋" w:cs="仿宋"/>
          <w:iCs/>
          <w:color w:val="auto"/>
          <w:sz w:val="32"/>
          <w:szCs w:val="32"/>
          <w:highlight w:val="none"/>
        </w:rPr>
      </w:pPr>
      <w:r>
        <w:rPr>
          <w:rFonts w:hint="eastAsia" w:ascii="仿宋" w:hAnsi="仿宋" w:eastAsia="仿宋" w:cs="仿宋"/>
          <w:iCs/>
          <w:color w:val="auto"/>
          <w:sz w:val="32"/>
          <w:szCs w:val="32"/>
          <w:highlight w:val="none"/>
        </w:rPr>
        <w:br w:type="page" w:clear="all"/>
      </w:r>
      <w:bookmarkStart w:id="366" w:name="_Toc23909"/>
      <w:bookmarkStart w:id="367" w:name="_Toc3201"/>
      <w:r>
        <w:rPr>
          <w:rFonts w:hint="eastAsia" w:ascii="仿宋" w:hAnsi="仿宋" w:eastAsia="仿宋" w:cs="仿宋"/>
          <w:iCs/>
          <w:color w:val="auto"/>
          <w:sz w:val="32"/>
          <w:szCs w:val="32"/>
          <w:highlight w:val="none"/>
        </w:rPr>
        <w:t>八、法人授权书</w:t>
      </w:r>
      <w:bookmarkEnd w:id="363"/>
      <w:bookmarkEnd w:id="366"/>
      <w:bookmarkEnd w:id="367"/>
    </w:p>
    <w:p w14:paraId="764713ED">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致____________（采购人或采购代理机构）：</w:t>
      </w:r>
    </w:p>
    <w:p w14:paraId="0EA266BD">
      <w:pPr>
        <w:pStyle w:val="251"/>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本授权书声明：注册于___________（投标人住址）的___________（投标人名称）法定代表人_______（姓名、职务）代表本公司授权_______（被授权投标代表姓名、职务）为本公司的合法投标代表，就贵方组织的</w:t>
      </w:r>
      <w:r>
        <w:rPr>
          <w:rFonts w:hint="eastAsia" w:ascii="仿宋" w:hAnsi="仿宋" w:eastAsia="仿宋" w:cs="仿宋"/>
          <w:color w:val="auto"/>
          <w:sz w:val="24"/>
          <w:szCs w:val="24"/>
          <w:highlight w:val="none"/>
          <w:u w:val="single"/>
          <w:lang w:eastAsia="zh-CN"/>
        </w:rPr>
        <w:t>高速公路交通情况统计调查、路网运行监测与管控辅助服务</w:t>
      </w:r>
      <w:r>
        <w:rPr>
          <w:rFonts w:hint="eastAsia" w:ascii="仿宋" w:hAnsi="仿宋" w:eastAsia="仿宋" w:cs="仿宋"/>
          <w:color w:val="auto"/>
          <w:sz w:val="24"/>
          <w:szCs w:val="24"/>
          <w:highlight w:val="none"/>
        </w:rPr>
        <w:t>（项目编号：</w:t>
      </w:r>
      <w:r>
        <w:rPr>
          <w:rFonts w:hint="eastAsia" w:ascii="仿宋" w:hAnsi="仿宋" w:eastAsia="仿宋" w:cs="仿宋"/>
          <w:color w:val="auto"/>
          <w:sz w:val="24"/>
          <w:szCs w:val="24"/>
          <w:highlight w:val="none"/>
          <w:u w:val="single"/>
          <w:lang w:eastAsia="zh-CN"/>
        </w:rPr>
        <w:t>JSZC-320000-JSQC-G2026-0027</w:t>
      </w:r>
      <w:r>
        <w:rPr>
          <w:rFonts w:hint="eastAsia" w:ascii="仿宋" w:hAnsi="仿宋" w:eastAsia="仿宋" w:cs="仿宋"/>
          <w:color w:val="auto"/>
          <w:sz w:val="24"/>
          <w:szCs w:val="24"/>
          <w:highlight w:val="none"/>
        </w:rPr>
        <w:t>）投标、合同的执行，以本公司名义处理一切与之有关的事务。</w:t>
      </w:r>
    </w:p>
    <w:p w14:paraId="308F94EA">
      <w:pPr>
        <w:pStyle w:val="251"/>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本授权书于______年______月_____日生效，特此声明。</w:t>
      </w:r>
    </w:p>
    <w:p w14:paraId="61C118B5">
      <w:pPr>
        <w:pStyle w:val="251"/>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被授权投标代表无转委托权。</w:t>
      </w:r>
    </w:p>
    <w:p w14:paraId="15E047F5">
      <w:pPr>
        <w:pStyle w:val="251"/>
        <w:spacing w:line="360" w:lineRule="auto"/>
        <w:ind w:firstLine="480"/>
        <w:rPr>
          <w:rFonts w:ascii="仿宋" w:hAnsi="仿宋" w:eastAsia="仿宋" w:cs="仿宋"/>
          <w:color w:val="auto"/>
          <w:sz w:val="24"/>
          <w:szCs w:val="24"/>
          <w:highlight w:val="none"/>
        </w:rPr>
      </w:pPr>
    </w:p>
    <w:tbl>
      <w:tblPr>
        <w:tblStyle w:val="33"/>
        <w:tblW w:w="74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00"/>
      </w:tblGrid>
      <w:tr w14:paraId="250F4E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3" w:hRule="atLeast"/>
          <w:jc w:val="center"/>
        </w:trPr>
        <w:tc>
          <w:tcPr>
            <w:tcW w:w="7400" w:type="dxa"/>
            <w:noWrap/>
            <w:vAlign w:val="center"/>
          </w:tcPr>
          <w:p w14:paraId="248A0E99">
            <w:pPr>
              <w:pStyle w:val="215"/>
              <w:spacing w:line="360" w:lineRule="auto"/>
              <w:rPr>
                <w:color w:val="auto"/>
                <w:highlight w:val="none"/>
              </w:rPr>
            </w:pPr>
          </w:p>
          <w:p w14:paraId="2C3503CB">
            <w:pPr>
              <w:pStyle w:val="215"/>
              <w:spacing w:line="360" w:lineRule="auto"/>
              <w:rPr>
                <w:color w:val="auto"/>
                <w:highlight w:val="none"/>
              </w:rPr>
            </w:pPr>
          </w:p>
          <w:p w14:paraId="20CB4894">
            <w:pPr>
              <w:pStyle w:val="215"/>
              <w:spacing w:line="360" w:lineRule="auto"/>
              <w:rPr>
                <w:color w:val="auto"/>
                <w:highlight w:val="none"/>
              </w:rPr>
            </w:pPr>
          </w:p>
          <w:p w14:paraId="3F8EABF4">
            <w:pPr>
              <w:pStyle w:val="215"/>
              <w:spacing w:line="360" w:lineRule="auto"/>
              <w:jc w:val="center"/>
              <w:rPr>
                <w:color w:val="auto"/>
                <w:highlight w:val="none"/>
              </w:rPr>
            </w:pPr>
            <w:r>
              <w:rPr>
                <w:rFonts w:hint="eastAsia"/>
                <w:color w:val="auto"/>
                <w:highlight w:val="none"/>
              </w:rPr>
              <w:t>法定代表人和被授权投标代表身份证复印件。</w:t>
            </w:r>
          </w:p>
          <w:p w14:paraId="53215B06">
            <w:pPr>
              <w:pStyle w:val="215"/>
              <w:spacing w:line="360" w:lineRule="auto"/>
              <w:rPr>
                <w:color w:val="auto"/>
                <w:highlight w:val="none"/>
              </w:rPr>
            </w:pPr>
          </w:p>
          <w:p w14:paraId="1D3F8504">
            <w:pPr>
              <w:pStyle w:val="215"/>
              <w:spacing w:line="360" w:lineRule="auto"/>
              <w:rPr>
                <w:color w:val="auto"/>
                <w:highlight w:val="none"/>
              </w:rPr>
            </w:pPr>
          </w:p>
          <w:p w14:paraId="5075E282">
            <w:pPr>
              <w:pStyle w:val="215"/>
              <w:spacing w:line="360" w:lineRule="auto"/>
              <w:rPr>
                <w:color w:val="auto"/>
                <w:highlight w:val="none"/>
              </w:rPr>
            </w:pPr>
          </w:p>
        </w:tc>
      </w:tr>
    </w:tbl>
    <w:p w14:paraId="1DA0BFBF">
      <w:pPr>
        <w:pStyle w:val="251"/>
        <w:spacing w:line="360" w:lineRule="auto"/>
        <w:ind w:firstLine="480"/>
        <w:rPr>
          <w:rFonts w:ascii="仿宋" w:hAnsi="仿宋" w:eastAsia="仿宋" w:cs="仿宋"/>
          <w:color w:val="auto"/>
          <w:sz w:val="24"/>
          <w:szCs w:val="24"/>
          <w:highlight w:val="none"/>
        </w:rPr>
      </w:pPr>
    </w:p>
    <w:p w14:paraId="49B84556">
      <w:pPr>
        <w:pStyle w:val="251"/>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投标人名称（公章）：________________</w:t>
      </w:r>
    </w:p>
    <w:p w14:paraId="4F152638">
      <w:pPr>
        <w:pStyle w:val="251"/>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法定代表人（签字或签章）：________________</w:t>
      </w:r>
    </w:p>
    <w:p w14:paraId="3D33DF16">
      <w:pPr>
        <w:pStyle w:val="251"/>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被授权投标代表（签字）：________________</w:t>
      </w:r>
    </w:p>
    <w:p w14:paraId="6D202529">
      <w:pPr>
        <w:pStyle w:val="251"/>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被授权投标代表联系电话：____________</w:t>
      </w:r>
    </w:p>
    <w:p w14:paraId="5657507F">
      <w:pPr>
        <w:pStyle w:val="251"/>
        <w:spacing w:line="360" w:lineRule="auto"/>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日期：____________</w:t>
      </w:r>
    </w:p>
    <w:p w14:paraId="5EC952E2">
      <w:pPr>
        <w:pStyle w:val="251"/>
        <w:spacing w:line="360" w:lineRule="auto"/>
        <w:ind w:firstLine="480"/>
        <w:rPr>
          <w:rFonts w:ascii="仿宋" w:hAnsi="仿宋" w:eastAsia="仿宋" w:cs="仿宋"/>
          <w:color w:val="auto"/>
          <w:sz w:val="24"/>
          <w:szCs w:val="24"/>
          <w:highlight w:val="none"/>
        </w:rPr>
      </w:pPr>
    </w:p>
    <w:p w14:paraId="2F87B891">
      <w:pPr>
        <w:pStyle w:val="251"/>
        <w:spacing w:line="360" w:lineRule="auto"/>
        <w:ind w:firstLine="482"/>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t>特别说明：投标人如由被授权投标代表</w:t>
      </w:r>
      <w:r>
        <w:rPr>
          <w:rFonts w:hint="eastAsia" w:ascii="仿宋" w:hAnsi="仿宋" w:eastAsia="仿宋" w:cs="仿宋"/>
          <w:b/>
          <w:bCs/>
          <w:color w:val="auto"/>
          <w:sz w:val="24"/>
          <w:szCs w:val="24"/>
          <w:highlight w:val="none"/>
          <w:u w:val="single"/>
          <w:lang w:val="en-US" w:eastAsia="zh-CN"/>
        </w:rPr>
        <w:t>参加</w:t>
      </w:r>
      <w:r>
        <w:rPr>
          <w:rFonts w:hint="eastAsia" w:ascii="仿宋" w:hAnsi="仿宋" w:eastAsia="仿宋" w:cs="仿宋"/>
          <w:b/>
          <w:bCs/>
          <w:color w:val="auto"/>
          <w:sz w:val="24"/>
          <w:szCs w:val="24"/>
          <w:highlight w:val="none"/>
          <w:u w:val="single"/>
        </w:rPr>
        <w:t>投标活动的，须同时提供《法定代表人授权委托书》</w:t>
      </w:r>
      <w:r>
        <w:rPr>
          <w:rFonts w:hint="eastAsia" w:ascii="仿宋" w:hAnsi="仿宋" w:eastAsia="仿宋" w:cs="仿宋"/>
          <w:b/>
          <w:bCs/>
          <w:color w:val="auto"/>
          <w:sz w:val="24"/>
          <w:szCs w:val="24"/>
          <w:highlight w:val="none"/>
          <w:u w:val="single"/>
          <w:lang w:eastAsia="zh-CN"/>
        </w:rPr>
        <w:t>、</w:t>
      </w:r>
      <w:r>
        <w:rPr>
          <w:rFonts w:hint="eastAsia" w:ascii="仿宋" w:hAnsi="仿宋" w:eastAsia="仿宋" w:cs="仿宋"/>
          <w:b/>
          <w:bCs/>
          <w:color w:val="auto"/>
          <w:sz w:val="24"/>
          <w:szCs w:val="24"/>
          <w:highlight w:val="none"/>
          <w:u w:val="single"/>
          <w:lang w:val="en-US" w:eastAsia="zh-CN"/>
        </w:rPr>
        <w:t>法定代表人</w:t>
      </w:r>
      <w:r>
        <w:rPr>
          <w:rFonts w:hint="eastAsia" w:ascii="仿宋" w:hAnsi="仿宋" w:eastAsia="仿宋" w:cs="仿宋"/>
          <w:b/>
          <w:bCs/>
          <w:color w:val="auto"/>
          <w:sz w:val="24"/>
          <w:szCs w:val="24"/>
          <w:highlight w:val="none"/>
          <w:u w:val="single"/>
        </w:rPr>
        <w:t>和被授权投标代表身份证复印件。《法定代表人授权委托书》应当按本格式要求加盖与投标人名称全称一致的标准公章，并签署法定代表人和被授权投标代表的全名或加盖名章。</w:t>
      </w:r>
    </w:p>
    <w:p w14:paraId="4912B8C9">
      <w:pPr>
        <w:pStyle w:val="251"/>
        <w:spacing w:line="360" w:lineRule="auto"/>
        <w:ind w:firstLine="482"/>
        <w:rPr>
          <w:rFonts w:hint="default" w:ascii="仿宋" w:hAnsi="仿宋" w:eastAsia="仿宋" w:cs="仿宋"/>
          <w:b/>
          <w:bCs/>
          <w:color w:val="auto"/>
          <w:sz w:val="24"/>
          <w:szCs w:val="24"/>
          <w:highlight w:val="none"/>
          <w:u w:val="single"/>
          <w:lang w:val="en-US" w:eastAsia="zh-CN"/>
        </w:rPr>
      </w:pPr>
      <w:r>
        <w:rPr>
          <w:rFonts w:hint="eastAsia" w:ascii="仿宋" w:hAnsi="仿宋" w:eastAsia="仿宋" w:cs="仿宋"/>
          <w:b/>
          <w:bCs/>
          <w:color w:val="auto"/>
          <w:sz w:val="24"/>
          <w:szCs w:val="24"/>
          <w:highlight w:val="none"/>
          <w:u w:val="single"/>
          <w:lang w:val="en-US" w:eastAsia="zh-CN"/>
        </w:rPr>
        <w:t>如由法定代表人参加投标活动的，只需提供法定代表人身份证复印件。</w:t>
      </w:r>
    </w:p>
    <w:p w14:paraId="3062102B">
      <w:pPr>
        <w:pStyle w:val="191"/>
        <w:spacing w:before="0" w:after="100" w:line="360" w:lineRule="auto"/>
        <w:jc w:val="both"/>
        <w:rPr>
          <w:rFonts w:ascii="仿宋" w:hAnsi="仿宋" w:eastAsia="仿宋" w:cs="仿宋"/>
          <w:iCs/>
          <w:color w:val="auto"/>
          <w:sz w:val="32"/>
          <w:szCs w:val="32"/>
          <w:highlight w:val="none"/>
        </w:rPr>
      </w:pPr>
      <w:bookmarkStart w:id="368" w:name="_Toc23937"/>
      <w:bookmarkStart w:id="369" w:name="_Toc17268"/>
      <w:bookmarkStart w:id="370" w:name="_Toc17236"/>
      <w:r>
        <w:rPr>
          <w:rFonts w:hint="eastAsia" w:ascii="仿宋" w:hAnsi="仿宋" w:eastAsia="仿宋" w:cs="仿宋"/>
          <w:iCs/>
          <w:color w:val="auto"/>
          <w:sz w:val="32"/>
          <w:szCs w:val="32"/>
          <w:highlight w:val="none"/>
        </w:rPr>
        <w:t>九、投标函</w:t>
      </w:r>
      <w:bookmarkEnd w:id="368"/>
      <w:bookmarkEnd w:id="369"/>
      <w:bookmarkEnd w:id="370"/>
    </w:p>
    <w:p w14:paraId="18B3234F">
      <w:pPr>
        <w:pStyle w:val="253"/>
        <w:spacing w:before="0" w:after="0" w:line="360" w:lineRule="auto"/>
        <w:ind w:firstLine="0"/>
        <w:rPr>
          <w:rFonts w:ascii="仿宋" w:hAnsi="仿宋" w:eastAsia="仿宋" w:cs="仿宋"/>
          <w:color w:val="auto"/>
          <w:szCs w:val="21"/>
          <w:highlight w:val="none"/>
        </w:rPr>
      </w:pPr>
      <w:r>
        <w:rPr>
          <w:rFonts w:hint="eastAsia" w:ascii="仿宋" w:hAnsi="仿宋" w:eastAsia="仿宋" w:cs="仿宋"/>
          <w:color w:val="auto"/>
          <w:szCs w:val="21"/>
          <w:highlight w:val="none"/>
        </w:rPr>
        <w:t>致：江苏柒采招标代理有限公司</w:t>
      </w:r>
    </w:p>
    <w:p w14:paraId="531E507F">
      <w:pPr>
        <w:pStyle w:val="253"/>
        <w:spacing w:before="0" w:after="0"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根据贵方的</w:t>
      </w:r>
      <w:r>
        <w:rPr>
          <w:rFonts w:hint="eastAsia" w:ascii="仿宋" w:hAnsi="仿宋" w:eastAsia="仿宋" w:cs="仿宋"/>
          <w:color w:val="auto"/>
          <w:highlight w:val="none"/>
        </w:rPr>
        <w:t>项目编号为</w:t>
      </w:r>
      <w:r>
        <w:rPr>
          <w:rFonts w:hint="eastAsia" w:ascii="仿宋" w:hAnsi="仿宋" w:eastAsia="仿宋" w:cs="仿宋"/>
          <w:color w:val="auto"/>
          <w:sz w:val="24"/>
          <w:szCs w:val="24"/>
          <w:highlight w:val="none"/>
          <w:u w:val="single"/>
          <w:lang w:eastAsia="zh-CN"/>
        </w:rPr>
        <w:t>JSZC-320000-JSQC-G2026-0027</w:t>
      </w:r>
      <w:r>
        <w:rPr>
          <w:rFonts w:hint="eastAsia" w:ascii="仿宋" w:hAnsi="仿宋" w:eastAsia="仿宋" w:cs="仿宋"/>
          <w:color w:val="auto"/>
          <w:highlight w:val="none"/>
        </w:rPr>
        <w:t>的</w:t>
      </w:r>
      <w:r>
        <w:rPr>
          <w:rFonts w:hint="eastAsia" w:ascii="仿宋" w:hAnsi="仿宋" w:eastAsia="仿宋" w:cs="仿宋"/>
          <w:color w:val="auto"/>
          <w:sz w:val="24"/>
          <w:szCs w:val="24"/>
          <w:highlight w:val="none"/>
          <w:u w:val="single"/>
          <w:lang w:eastAsia="zh-CN"/>
        </w:rPr>
        <w:t>高速公路交通情况统计调查、路网运行监测与管控辅助服务</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项目名称和分包名称）</w:t>
      </w:r>
      <w:r>
        <w:rPr>
          <w:rFonts w:hint="eastAsia" w:ascii="仿宋" w:hAnsi="仿宋" w:eastAsia="仿宋" w:cs="仿宋"/>
          <w:color w:val="auto"/>
          <w:szCs w:val="21"/>
          <w:highlight w:val="none"/>
        </w:rPr>
        <w:t>招标文件，正式授权下述签字人_________________（姓名）代表我方______________（投标人的名称），全权处理本次项目投标的有关事宜。</w:t>
      </w:r>
    </w:p>
    <w:p w14:paraId="5E6665FB">
      <w:pPr>
        <w:pStyle w:val="253"/>
        <w:spacing w:before="0" w:after="0"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据此函，__________签字人兹宣布同意如下：</w:t>
      </w:r>
    </w:p>
    <w:p w14:paraId="249939FB">
      <w:pPr>
        <w:pStyle w:val="253"/>
        <w:spacing w:before="0" w:after="0"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1.按招标文件规定的各项要求，向买方提供所需服务（包含于服务相关的产品）。</w:t>
      </w:r>
    </w:p>
    <w:p w14:paraId="58FCF3A6">
      <w:pPr>
        <w:pStyle w:val="253"/>
        <w:spacing w:before="0" w:after="0"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2.我们完全理解贵方不一定将合同授予最低报价的投标人。</w:t>
      </w:r>
    </w:p>
    <w:p w14:paraId="0E0AEAFC">
      <w:pPr>
        <w:pStyle w:val="253"/>
        <w:spacing w:before="0" w:after="0"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3.我们已详细审核全部招标文件及其有效补充文件，我们知道必须放弃提出含糊不清或误解问题的权利。</w:t>
      </w:r>
    </w:p>
    <w:p w14:paraId="52EAC053">
      <w:pPr>
        <w:pStyle w:val="253"/>
        <w:spacing w:before="0" w:after="0"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4.我们同意从规定的开标日期起遵循本投标文件，并在规定的投标有效期期满之前均具有约束力。</w:t>
      </w:r>
    </w:p>
    <w:p w14:paraId="33B27D2A">
      <w:pPr>
        <w:pStyle w:val="253"/>
        <w:spacing w:before="0" w:after="0"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5.同意向贵方提供贵方可能另外要求的与投标有关的任何证据或资料，并保证我方已提供和将要提供的文件是真实的、准确的。</w:t>
      </w:r>
    </w:p>
    <w:p w14:paraId="4CE41E3D">
      <w:pPr>
        <w:pStyle w:val="253"/>
        <w:spacing w:before="0" w:after="0"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6.一旦我方中标，我方将根据招标文件的规定，严格履行合同的责任和义务，并保证在招标文件规定的时间完成项目，交付买方验收、使用。</w:t>
      </w:r>
    </w:p>
    <w:p w14:paraId="7E362CBB">
      <w:pPr>
        <w:pStyle w:val="253"/>
        <w:spacing w:before="0" w:after="0" w:line="360" w:lineRule="auto"/>
        <w:rPr>
          <w:rFonts w:ascii="仿宋" w:hAnsi="仿宋" w:eastAsia="仿宋" w:cs="仿宋"/>
          <w:color w:val="auto"/>
          <w:szCs w:val="21"/>
          <w:highlight w:val="none"/>
        </w:rPr>
      </w:pPr>
      <w:r>
        <w:rPr>
          <w:rFonts w:hint="eastAsia" w:ascii="仿宋" w:hAnsi="仿宋" w:eastAsia="仿宋" w:cs="仿宋"/>
          <w:color w:val="auto"/>
          <w:szCs w:val="21"/>
          <w:highlight w:val="none"/>
        </w:rPr>
        <w:t>7.与本投标有关的正式通讯地址为：</w:t>
      </w:r>
    </w:p>
    <w:p w14:paraId="68EE1FFF">
      <w:pPr>
        <w:pStyle w:val="253"/>
        <w:spacing w:before="0" w:after="0" w:line="360" w:lineRule="auto"/>
        <w:ind w:left="420"/>
        <w:rPr>
          <w:rFonts w:ascii="仿宋" w:hAnsi="仿宋" w:eastAsia="仿宋" w:cs="仿宋"/>
          <w:color w:val="auto"/>
          <w:szCs w:val="21"/>
          <w:highlight w:val="none"/>
        </w:rPr>
      </w:pPr>
      <w:r>
        <w:rPr>
          <w:rFonts w:hint="eastAsia" w:ascii="仿宋" w:hAnsi="仿宋" w:eastAsia="仿宋" w:cs="仿宋"/>
          <w:color w:val="auto"/>
          <w:szCs w:val="21"/>
          <w:highlight w:val="none"/>
        </w:rPr>
        <w:t>地          址：</w:t>
      </w:r>
    </w:p>
    <w:p w14:paraId="49C160D5">
      <w:pPr>
        <w:pStyle w:val="253"/>
        <w:spacing w:before="0" w:after="0" w:line="360" w:lineRule="auto"/>
        <w:ind w:left="420"/>
        <w:rPr>
          <w:rFonts w:ascii="仿宋" w:hAnsi="仿宋" w:eastAsia="仿宋" w:cs="仿宋"/>
          <w:color w:val="auto"/>
          <w:szCs w:val="21"/>
          <w:highlight w:val="none"/>
        </w:rPr>
      </w:pPr>
      <w:r>
        <w:rPr>
          <w:rFonts w:hint="eastAsia" w:ascii="仿宋" w:hAnsi="仿宋" w:eastAsia="仿宋" w:cs="仿宋"/>
          <w:color w:val="auto"/>
          <w:szCs w:val="21"/>
          <w:highlight w:val="none"/>
        </w:rPr>
        <w:t>邮          编：</w:t>
      </w:r>
    </w:p>
    <w:p w14:paraId="73427C49">
      <w:pPr>
        <w:pStyle w:val="253"/>
        <w:spacing w:before="0" w:after="0" w:line="360" w:lineRule="auto"/>
        <w:ind w:left="420"/>
        <w:rPr>
          <w:rFonts w:ascii="仿宋" w:hAnsi="仿宋" w:eastAsia="仿宋" w:cs="仿宋"/>
          <w:color w:val="auto"/>
          <w:szCs w:val="21"/>
          <w:highlight w:val="none"/>
        </w:rPr>
      </w:pPr>
      <w:r>
        <w:rPr>
          <w:rFonts w:hint="eastAsia" w:ascii="仿宋" w:hAnsi="仿宋" w:eastAsia="仿宋" w:cs="仿宋"/>
          <w:color w:val="auto"/>
          <w:szCs w:val="21"/>
          <w:highlight w:val="none"/>
        </w:rPr>
        <w:t>电          话：</w:t>
      </w:r>
    </w:p>
    <w:p w14:paraId="141211C8">
      <w:pPr>
        <w:pStyle w:val="253"/>
        <w:spacing w:before="0" w:after="0" w:line="360" w:lineRule="auto"/>
        <w:ind w:left="420"/>
        <w:rPr>
          <w:rFonts w:ascii="仿宋" w:hAnsi="仿宋" w:eastAsia="仿宋" w:cs="仿宋"/>
          <w:color w:val="auto"/>
          <w:szCs w:val="21"/>
          <w:highlight w:val="none"/>
        </w:rPr>
      </w:pPr>
      <w:r>
        <w:rPr>
          <w:rFonts w:hint="eastAsia" w:ascii="仿宋" w:hAnsi="仿宋" w:eastAsia="仿宋" w:cs="仿宋"/>
          <w:color w:val="auto"/>
          <w:szCs w:val="21"/>
          <w:highlight w:val="none"/>
        </w:rPr>
        <w:t>传          真：</w:t>
      </w:r>
    </w:p>
    <w:p w14:paraId="179B2040">
      <w:pPr>
        <w:pStyle w:val="253"/>
        <w:spacing w:before="0" w:after="0" w:line="360" w:lineRule="auto"/>
        <w:ind w:left="420"/>
        <w:rPr>
          <w:rFonts w:ascii="仿宋" w:hAnsi="仿宋" w:eastAsia="仿宋" w:cs="仿宋"/>
          <w:color w:val="auto"/>
          <w:szCs w:val="21"/>
          <w:highlight w:val="none"/>
        </w:rPr>
      </w:pPr>
      <w:r>
        <w:rPr>
          <w:rFonts w:hint="eastAsia" w:ascii="仿宋" w:hAnsi="仿宋" w:eastAsia="仿宋" w:cs="仿宋"/>
          <w:color w:val="auto"/>
          <w:szCs w:val="21"/>
          <w:highlight w:val="none"/>
        </w:rPr>
        <w:t>投标人开户行：</w:t>
      </w:r>
    </w:p>
    <w:p w14:paraId="32410A43">
      <w:pPr>
        <w:pStyle w:val="253"/>
        <w:spacing w:before="0" w:after="0" w:line="360" w:lineRule="auto"/>
        <w:ind w:left="420"/>
        <w:rPr>
          <w:rFonts w:ascii="仿宋" w:hAnsi="仿宋" w:eastAsia="仿宋" w:cs="仿宋"/>
          <w:color w:val="auto"/>
          <w:szCs w:val="21"/>
          <w:highlight w:val="none"/>
        </w:rPr>
      </w:pPr>
      <w:r>
        <w:rPr>
          <w:rFonts w:hint="eastAsia" w:ascii="仿宋" w:hAnsi="仿宋" w:eastAsia="仿宋" w:cs="仿宋"/>
          <w:color w:val="auto"/>
          <w:szCs w:val="21"/>
          <w:highlight w:val="none"/>
        </w:rPr>
        <w:t xml:space="preserve">账          户： </w:t>
      </w:r>
    </w:p>
    <w:p w14:paraId="43E64A27">
      <w:pPr>
        <w:pStyle w:val="253"/>
        <w:spacing w:before="0" w:after="0" w:line="360" w:lineRule="auto"/>
        <w:ind w:left="420"/>
        <w:rPr>
          <w:rFonts w:ascii="仿宋" w:hAnsi="仿宋" w:eastAsia="仿宋" w:cs="仿宋"/>
          <w:color w:val="auto"/>
          <w:szCs w:val="21"/>
          <w:highlight w:val="none"/>
        </w:rPr>
      </w:pPr>
      <w:r>
        <w:rPr>
          <w:rFonts w:hint="eastAsia" w:ascii="仿宋" w:hAnsi="仿宋" w:eastAsia="仿宋" w:cs="仿宋"/>
          <w:color w:val="auto"/>
          <w:szCs w:val="21"/>
          <w:highlight w:val="none"/>
        </w:rPr>
        <w:t>日           期：________年____月____日</w:t>
      </w:r>
    </w:p>
    <w:p w14:paraId="1E1416EF">
      <w:pPr>
        <w:spacing w:line="360" w:lineRule="auto"/>
        <w:ind w:firstLine="240"/>
        <w:jc w:val="center"/>
        <w:rPr>
          <w:rFonts w:ascii="仿宋" w:hAnsi="仿宋" w:eastAsia="仿宋" w:cs="仿宋"/>
          <w:bCs/>
          <w:color w:val="auto"/>
          <w:sz w:val="24"/>
          <w:highlight w:val="none"/>
        </w:rPr>
      </w:pPr>
    </w:p>
    <w:p w14:paraId="4DEA0DCB">
      <w:pPr>
        <w:rPr>
          <w:rFonts w:hint="eastAsia" w:ascii="仿宋" w:hAnsi="仿宋" w:eastAsia="仿宋" w:cs="仿宋"/>
          <w:iCs/>
          <w:color w:val="auto"/>
          <w:sz w:val="32"/>
          <w:szCs w:val="32"/>
          <w:highlight w:val="none"/>
        </w:rPr>
      </w:pPr>
      <w:bookmarkStart w:id="371" w:name="_Toc28074"/>
      <w:bookmarkStart w:id="372" w:name="_Toc10699"/>
      <w:r>
        <w:rPr>
          <w:rFonts w:hint="eastAsia" w:ascii="仿宋" w:hAnsi="仿宋" w:eastAsia="仿宋" w:cs="仿宋"/>
          <w:iCs/>
          <w:color w:val="auto"/>
          <w:sz w:val="32"/>
          <w:szCs w:val="32"/>
          <w:highlight w:val="none"/>
        </w:rPr>
        <w:br w:type="page"/>
      </w:r>
    </w:p>
    <w:p w14:paraId="32518DF3">
      <w:pPr>
        <w:pStyle w:val="191"/>
        <w:spacing w:before="0" w:after="100" w:line="360" w:lineRule="auto"/>
        <w:jc w:val="both"/>
        <w:rPr>
          <w:rFonts w:ascii="仿宋" w:hAnsi="仿宋" w:eastAsia="仿宋" w:cs="仿宋"/>
          <w:iCs/>
          <w:color w:val="auto"/>
          <w:sz w:val="32"/>
          <w:szCs w:val="32"/>
          <w:highlight w:val="none"/>
        </w:rPr>
      </w:pPr>
      <w:bookmarkStart w:id="373" w:name="_Toc2274"/>
      <w:r>
        <w:rPr>
          <w:rFonts w:hint="eastAsia" w:ascii="仿宋" w:hAnsi="仿宋" w:eastAsia="仿宋" w:cs="仿宋"/>
          <w:iCs/>
          <w:color w:val="auto"/>
          <w:sz w:val="32"/>
          <w:szCs w:val="32"/>
          <w:highlight w:val="none"/>
        </w:rPr>
        <w:t>十、中小企业声明函（服务）</w:t>
      </w:r>
      <w:bookmarkEnd w:id="371"/>
      <w:bookmarkEnd w:id="372"/>
      <w:bookmarkEnd w:id="373"/>
    </w:p>
    <w:p w14:paraId="35469EB5">
      <w:pPr>
        <w:spacing w:line="560" w:lineRule="exact"/>
        <w:ind w:firstLine="360"/>
        <w:rPr>
          <w:rFonts w:ascii="仿宋" w:hAnsi="仿宋" w:eastAsia="仿宋" w:cs="仿宋"/>
          <w:color w:val="auto"/>
          <w:sz w:val="24"/>
          <w:szCs w:val="24"/>
          <w:highlight w:val="none"/>
        </w:rPr>
      </w:pPr>
      <w:bookmarkStart w:id="374" w:name="_Toc1"/>
      <w:bookmarkStart w:id="375" w:name="_Toc23468"/>
      <w:bookmarkStart w:id="376" w:name="_Toc8428"/>
      <w:r>
        <w:rPr>
          <w:rFonts w:hint="eastAsia" w:ascii="仿宋" w:hAnsi="仿宋" w:eastAsia="仿宋" w:cs="仿宋"/>
          <w:color w:val="auto"/>
          <w:sz w:val="24"/>
          <w:szCs w:val="24"/>
          <w:highlight w:val="none"/>
        </w:rPr>
        <w:t>本公司郑重声明，根据《政府采购促进中小企业发展管理办法》（财库〔2020〕46号）的规定，本公司参加江苏柒采招标代理有限公司组织的项目编号为</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（项目名称</w:t>
      </w:r>
      <w:r>
        <w:rPr>
          <w:rFonts w:hint="eastAsia" w:ascii="仿宋" w:hAnsi="仿宋" w:eastAsia="仿宋" w:cs="仿宋"/>
          <w:color w:val="auto"/>
          <w:sz w:val="24"/>
          <w:szCs w:val="24"/>
          <w:highlight w:val="none"/>
          <w:u w:val="single"/>
          <w:lang w:eastAsia="zh-CN"/>
        </w:rPr>
        <w:t>、</w:t>
      </w:r>
      <w:r>
        <w:rPr>
          <w:rFonts w:hint="eastAsia" w:ascii="仿宋" w:hAnsi="仿宋" w:eastAsia="仿宋" w:cs="仿宋"/>
          <w:color w:val="auto"/>
          <w:sz w:val="24"/>
          <w:szCs w:val="24"/>
          <w:highlight w:val="none"/>
          <w:u w:val="single"/>
          <w:lang w:val="en-US" w:eastAsia="zh-CN"/>
        </w:rPr>
        <w:t>分包名称</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的招标活动，服务全部由符合政策的小微企业承接。根据《工业和信息化部、国家统计局、国家发展和改革委员会、财政部关于印发中小企业划型标准规定的通知》（工信部联企业〔2011〕300号）的规定，相关企业的具体情况如下：</w:t>
      </w:r>
    </w:p>
    <w:p w14:paraId="2FB70093">
      <w:pPr>
        <w:spacing w:line="560" w:lineRule="exact"/>
        <w:ind w:firstLine="360"/>
        <w:rPr>
          <w:rFonts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u w:val="single"/>
        </w:rPr>
        <w:t>（标的名称）</w:t>
      </w:r>
      <w:r>
        <w:rPr>
          <w:rFonts w:hint="eastAsia" w:ascii="仿宋" w:hAnsi="仿宋" w:eastAsia="仿宋" w:cs="仿宋"/>
          <w:i/>
          <w:color w:val="auto"/>
          <w:sz w:val="24"/>
          <w:szCs w:val="24"/>
          <w:highlight w:val="none"/>
        </w:rPr>
        <w:t>，</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行业；承接企业为</w:t>
      </w:r>
      <w:r>
        <w:rPr>
          <w:rFonts w:hint="eastAsia" w:ascii="仿宋" w:hAnsi="仿宋" w:eastAsia="仿宋" w:cs="仿宋"/>
          <w:color w:val="auto"/>
          <w:sz w:val="24"/>
          <w:szCs w:val="24"/>
          <w:highlight w:val="none"/>
          <w:u w:val="single"/>
        </w:rPr>
        <w:t>（企业名称）</w:t>
      </w:r>
      <w:r>
        <w:rPr>
          <w:rFonts w:hint="eastAsia" w:ascii="仿宋" w:hAnsi="仿宋" w:eastAsia="仿宋" w:cs="仿宋"/>
          <w:color w:val="auto"/>
          <w:sz w:val="24"/>
          <w:szCs w:val="24"/>
          <w:highlight w:val="none"/>
        </w:rPr>
        <w:t>，从业人员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万元</w:t>
      </w:r>
      <w:r>
        <w:rPr>
          <w:rFonts w:hint="eastAsia" w:ascii="仿宋" w:hAnsi="仿宋" w:eastAsia="仿宋" w:cs="仿宋"/>
          <w:color w:val="auto"/>
          <w:sz w:val="24"/>
          <w:szCs w:val="24"/>
          <w:highlight w:val="none"/>
          <w:vertAlign w:val="superscript"/>
        </w:rPr>
        <w:t>1</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（小型企业、微型企业）；</w:t>
      </w:r>
    </w:p>
    <w:p w14:paraId="49B2CAD0">
      <w:pPr>
        <w:spacing w:line="560" w:lineRule="exact"/>
        <w:ind w:firstLine="36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以上企业，不属于大企业的分支机构，不存在控股股东为大企业的情形，也不存在与大企业的负责人为同一人的情形。</w:t>
      </w:r>
    </w:p>
    <w:p w14:paraId="4A9E8E32">
      <w:pPr>
        <w:spacing w:line="560" w:lineRule="exact"/>
        <w:ind w:firstLine="36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本企业对上述声明内容的真实性负责。如有虚假，将依法承担相应责任</w:t>
      </w:r>
    </w:p>
    <w:p w14:paraId="1EC2D178">
      <w:pPr>
        <w:spacing w:line="560" w:lineRule="exact"/>
        <w:ind w:right="720"/>
        <w:rPr>
          <w:rFonts w:ascii="仿宋" w:hAnsi="仿宋" w:eastAsia="仿宋" w:cs="仿宋"/>
          <w:color w:val="auto"/>
          <w:sz w:val="24"/>
          <w:szCs w:val="24"/>
          <w:highlight w:val="none"/>
        </w:rPr>
      </w:pPr>
    </w:p>
    <w:p w14:paraId="7B68A10A">
      <w:pPr>
        <w:spacing w:line="560" w:lineRule="exact"/>
        <w:ind w:right="180" w:firstLine="360"/>
        <w:jc w:val="righ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企业名称（加盖公章）：</w:t>
      </w:r>
    </w:p>
    <w:p w14:paraId="0A17730E">
      <w:pPr>
        <w:spacing w:line="560" w:lineRule="exact"/>
        <w:ind w:right="480" w:firstLine="70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  期：</w:t>
      </w:r>
    </w:p>
    <w:p w14:paraId="71769595">
      <w:pPr>
        <w:spacing w:line="360" w:lineRule="auto"/>
        <w:ind w:firstLine="480"/>
        <w:rPr>
          <w:rFonts w:ascii="仿宋" w:hAnsi="仿宋" w:eastAsia="仿宋" w:cs="仿宋"/>
          <w:color w:val="auto"/>
          <w:sz w:val="24"/>
          <w:szCs w:val="24"/>
          <w:highlight w:val="none"/>
        </w:rPr>
      </w:pPr>
    </w:p>
    <w:p w14:paraId="7A359F54">
      <w:pPr>
        <w:spacing w:line="560" w:lineRule="exact"/>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本项目属于</w:t>
      </w:r>
      <w:r>
        <w:rPr>
          <w:rFonts w:hint="eastAsia" w:ascii="仿宋" w:hAnsi="仿宋" w:eastAsia="仿宋" w:cs="仿宋"/>
          <w:b/>
          <w:bCs/>
          <w:color w:val="auto"/>
          <w:sz w:val="24"/>
          <w:szCs w:val="24"/>
          <w:highlight w:val="none"/>
          <w:u w:val="single"/>
        </w:rPr>
        <w:t>其他未列明行业</w:t>
      </w:r>
      <w:r>
        <w:rPr>
          <w:rFonts w:hint="eastAsia" w:ascii="仿宋" w:hAnsi="仿宋" w:eastAsia="仿宋" w:cs="仿宋"/>
          <w:color w:val="auto"/>
          <w:sz w:val="24"/>
          <w:szCs w:val="24"/>
          <w:highlight w:val="none"/>
        </w:rPr>
        <w:t>。从业人员300人以下的为中小微型企业。其中，从业人员100人及以上的为中型企业；从业人员10人及以上的为小型企业；从业人员10人以下的为微型企业。</w:t>
      </w:r>
    </w:p>
    <w:p w14:paraId="6C8B72C5">
      <w:pPr>
        <w:spacing w:line="560" w:lineRule="exact"/>
        <w:ind w:firstLine="480"/>
        <w:rPr>
          <w:rFonts w:ascii="仿宋" w:hAnsi="仿宋" w:eastAsia="仿宋" w:cs="仿宋"/>
          <w:color w:val="auto"/>
          <w:sz w:val="24"/>
          <w:szCs w:val="24"/>
          <w:highlight w:val="none"/>
        </w:rPr>
      </w:pPr>
    </w:p>
    <w:p w14:paraId="27B0BED4">
      <w:pPr>
        <w:spacing w:line="56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备注1：从业人员、营业收入、资产总额填报上一年度数据，无上一年度数据的新成立企业可不填报。</w:t>
      </w:r>
    </w:p>
    <w:p w14:paraId="015B4EB1">
      <w:pPr>
        <w:spacing w:line="560" w:lineRule="exact"/>
        <w:ind w:firstLine="480"/>
        <w:rPr>
          <w:rFonts w:hint="eastAsia" w:ascii="仿宋" w:hAnsi="仿宋" w:eastAsia="仿宋" w:cs="仿宋"/>
          <w:color w:val="auto"/>
          <w:sz w:val="24"/>
          <w:szCs w:val="24"/>
          <w:highlight w:val="none"/>
        </w:rPr>
      </w:pPr>
    </w:p>
    <w:p w14:paraId="0478CE13">
      <w:pPr>
        <w:spacing w:line="560" w:lineRule="exact"/>
        <w:ind w:firstLine="480"/>
        <w:rPr>
          <w:rFonts w:hint="eastAsia" w:ascii="仿宋" w:hAnsi="仿宋" w:eastAsia="仿宋" w:cs="仿宋"/>
          <w:color w:val="auto"/>
          <w:sz w:val="24"/>
          <w:szCs w:val="24"/>
          <w:highlight w:val="none"/>
        </w:rPr>
      </w:pPr>
    </w:p>
    <w:p w14:paraId="759725B3">
      <w:pPr>
        <w:pStyle w:val="191"/>
        <w:spacing w:before="0" w:after="100" w:line="360" w:lineRule="auto"/>
        <w:jc w:val="both"/>
        <w:rPr>
          <w:rFonts w:ascii="仿宋" w:hAnsi="仿宋" w:eastAsia="仿宋" w:cs="仿宋"/>
          <w:b w:val="0"/>
          <w:color w:val="auto"/>
          <w:sz w:val="32"/>
          <w:szCs w:val="32"/>
          <w:highlight w:val="none"/>
        </w:rPr>
      </w:pPr>
      <w:bookmarkStart w:id="377" w:name="_Toc8915"/>
      <w:r>
        <w:rPr>
          <w:rFonts w:hint="eastAsia" w:ascii="仿宋" w:hAnsi="仿宋" w:eastAsia="仿宋" w:cs="仿宋"/>
          <w:iCs/>
          <w:color w:val="auto"/>
          <w:sz w:val="32"/>
          <w:szCs w:val="32"/>
          <w:highlight w:val="none"/>
        </w:rPr>
        <w:t>十一、残疾人福利性单位声明函</w:t>
      </w:r>
      <w:bookmarkEnd w:id="374"/>
      <w:bookmarkEnd w:id="375"/>
      <w:bookmarkEnd w:id="376"/>
      <w:bookmarkEnd w:id="377"/>
    </w:p>
    <w:p w14:paraId="30DF8C08">
      <w:pPr>
        <w:spacing w:line="360" w:lineRule="auto"/>
        <w:ind w:firstLine="480"/>
        <w:rPr>
          <w:rFonts w:ascii="仿宋" w:hAnsi="仿宋" w:eastAsia="仿宋" w:cs="仿宋"/>
          <w:color w:val="auto"/>
          <w:sz w:val="24"/>
          <w:highlight w:val="none"/>
        </w:rPr>
      </w:pPr>
      <w:r>
        <w:rPr>
          <w:rFonts w:hint="eastAsia" w:ascii="仿宋" w:hAnsi="仿宋" w:eastAsia="仿宋" w:cs="仿宋"/>
          <w:color w:val="auto"/>
          <w:sz w:val="24"/>
          <w:highlight w:val="none"/>
        </w:rPr>
        <w:t>本单位郑重声明，根据《财政部 民政部 中国残疾人联合会关于促进残疾人就业政府采购政策的通知》（财库〔2017〕141号）的规定，本单位为符合条件的残疾人福利性单位，且本单位参加______单位的招标文件编号为______的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项目采购活动由本单位提供服务。</w:t>
      </w:r>
    </w:p>
    <w:p w14:paraId="47FAE227">
      <w:pPr>
        <w:spacing w:line="360" w:lineRule="auto"/>
        <w:ind w:firstLine="480"/>
        <w:rPr>
          <w:rFonts w:ascii="仿宋" w:hAnsi="仿宋" w:eastAsia="仿宋" w:cs="仿宋"/>
          <w:color w:val="auto"/>
          <w:sz w:val="24"/>
          <w:highlight w:val="none"/>
        </w:rPr>
      </w:pPr>
      <w:r>
        <w:rPr>
          <w:rFonts w:hint="eastAsia" w:ascii="仿宋" w:hAnsi="仿宋" w:eastAsia="仿宋" w:cs="仿宋"/>
          <w:color w:val="auto"/>
          <w:sz w:val="24"/>
          <w:highlight w:val="none"/>
        </w:rPr>
        <w:t>本单位对上述声明的真实性负责。如有虚假，将依法承担相应责任。</w:t>
      </w:r>
    </w:p>
    <w:p w14:paraId="2F893320">
      <w:pPr>
        <w:spacing w:line="360" w:lineRule="auto"/>
        <w:ind w:firstLine="480"/>
        <w:rPr>
          <w:rFonts w:ascii="仿宋" w:hAnsi="仿宋" w:eastAsia="仿宋" w:cs="仿宋"/>
          <w:color w:val="auto"/>
          <w:sz w:val="24"/>
          <w:highlight w:val="none"/>
        </w:rPr>
      </w:pPr>
    </w:p>
    <w:p w14:paraId="392456E5">
      <w:pPr>
        <w:spacing w:line="360" w:lineRule="auto"/>
        <w:ind w:firstLine="480"/>
        <w:rPr>
          <w:rFonts w:ascii="仿宋" w:hAnsi="仿宋" w:eastAsia="仿宋" w:cs="仿宋"/>
          <w:color w:val="auto"/>
          <w:sz w:val="24"/>
          <w:highlight w:val="none"/>
        </w:rPr>
      </w:pPr>
      <w:r>
        <w:rPr>
          <w:rFonts w:hint="eastAsia" w:ascii="仿宋" w:hAnsi="仿宋" w:eastAsia="仿宋" w:cs="仿宋"/>
          <w:color w:val="auto"/>
          <w:sz w:val="24"/>
          <w:highlight w:val="none"/>
        </w:rPr>
        <w:t>（备注：1、供应商如不提供此声明函，价格将不做相应扣除。2、</w:t>
      </w:r>
      <w:r>
        <w:rPr>
          <w:rFonts w:hint="eastAsia" w:ascii="仿宋" w:hAnsi="仿宋" w:eastAsia="仿宋" w:cs="仿宋"/>
          <w:color w:val="auto"/>
          <w:sz w:val="24"/>
          <w:highlight w:val="none"/>
          <w:lang w:eastAsia="zh-CN"/>
        </w:rPr>
        <w:t>中标人</w:t>
      </w:r>
      <w:r>
        <w:rPr>
          <w:rFonts w:hint="eastAsia" w:ascii="仿宋" w:hAnsi="仿宋" w:eastAsia="仿宋" w:cs="仿宋"/>
          <w:color w:val="auto"/>
          <w:sz w:val="24"/>
          <w:highlight w:val="none"/>
        </w:rPr>
        <w:t>为残疾人福利单位的，此声明函将随成交结果同时公告，接受社会监督）</w:t>
      </w:r>
    </w:p>
    <w:p w14:paraId="0D6C1946">
      <w:pPr>
        <w:spacing w:line="360" w:lineRule="auto"/>
        <w:ind w:firstLine="624"/>
        <w:rPr>
          <w:rFonts w:ascii="仿宋" w:hAnsi="仿宋" w:eastAsia="仿宋" w:cs="仿宋"/>
          <w:color w:val="auto"/>
          <w:spacing w:val="6"/>
          <w:sz w:val="30"/>
          <w:szCs w:val="30"/>
          <w:highlight w:val="none"/>
        </w:rPr>
      </w:pPr>
    </w:p>
    <w:p w14:paraId="65DB98AF">
      <w:pPr>
        <w:tabs>
          <w:tab w:val="left" w:pos="4860"/>
        </w:tabs>
        <w:spacing w:line="360" w:lineRule="auto"/>
        <w:ind w:right="1560" w:firstLine="624"/>
        <w:jc w:val="center"/>
        <w:rPr>
          <w:rFonts w:ascii="仿宋" w:hAnsi="仿宋" w:eastAsia="仿宋" w:cs="仿宋"/>
          <w:color w:val="auto"/>
          <w:sz w:val="24"/>
          <w:highlight w:val="none"/>
        </w:rPr>
      </w:pPr>
      <w:r>
        <w:rPr>
          <w:rFonts w:hint="eastAsia" w:ascii="仿宋" w:hAnsi="仿宋" w:eastAsia="仿宋" w:cs="仿宋"/>
          <w:color w:val="auto"/>
          <w:spacing w:val="6"/>
          <w:sz w:val="30"/>
          <w:szCs w:val="30"/>
          <w:highlight w:val="none"/>
        </w:rPr>
        <w:t xml:space="preserve">             </w:t>
      </w:r>
      <w:r>
        <w:rPr>
          <w:rFonts w:hint="eastAsia" w:ascii="仿宋" w:hAnsi="仿宋" w:eastAsia="仿宋" w:cs="仿宋"/>
          <w:color w:val="auto"/>
          <w:sz w:val="24"/>
          <w:highlight w:val="none"/>
        </w:rPr>
        <w:t xml:space="preserve">          </w:t>
      </w:r>
      <w:r>
        <w:rPr>
          <w:rFonts w:hint="eastAsia" w:ascii="仿宋" w:hAnsi="仿宋" w:eastAsia="仿宋" w:cs="仿宋"/>
          <w:color w:val="auto"/>
          <w:sz w:val="24"/>
          <w:szCs w:val="24"/>
          <w:highlight w:val="none"/>
        </w:rPr>
        <w:t>企业名称</w:t>
      </w:r>
      <w:r>
        <w:rPr>
          <w:rFonts w:hint="eastAsia" w:ascii="仿宋" w:hAnsi="仿宋" w:eastAsia="仿宋" w:cs="仿宋"/>
          <w:color w:val="auto"/>
          <w:sz w:val="24"/>
          <w:highlight w:val="none"/>
        </w:rPr>
        <w:t>（加盖公章）：</w:t>
      </w:r>
    </w:p>
    <w:p w14:paraId="02D9347D">
      <w:pPr>
        <w:tabs>
          <w:tab w:val="left" w:pos="4860"/>
        </w:tabs>
        <w:spacing w:line="360" w:lineRule="auto"/>
        <w:ind w:right="1560" w:firstLine="480"/>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              日  期：</w:t>
      </w:r>
    </w:p>
    <w:p w14:paraId="2DAB391C">
      <w:pPr>
        <w:spacing w:line="360" w:lineRule="auto"/>
        <w:ind w:firstLine="480"/>
        <w:rPr>
          <w:rFonts w:ascii="仿宋" w:hAnsi="仿宋" w:eastAsia="仿宋" w:cs="仿宋"/>
          <w:color w:val="auto"/>
          <w:sz w:val="24"/>
          <w:highlight w:val="none"/>
        </w:rPr>
      </w:pPr>
    </w:p>
    <w:p w14:paraId="659C33B3">
      <w:pPr>
        <w:pStyle w:val="191"/>
        <w:spacing w:after="100" w:line="360" w:lineRule="auto"/>
        <w:jc w:val="left"/>
        <w:rPr>
          <w:rFonts w:ascii="仿宋" w:hAnsi="仿宋" w:eastAsia="仿宋" w:cs="仿宋"/>
          <w:iCs/>
          <w:color w:val="auto"/>
          <w:sz w:val="32"/>
          <w:szCs w:val="32"/>
          <w:highlight w:val="none"/>
        </w:rPr>
      </w:pPr>
      <w:r>
        <w:rPr>
          <w:rFonts w:hint="eastAsia" w:ascii="仿宋" w:hAnsi="仿宋" w:eastAsia="仿宋" w:cs="仿宋"/>
          <w:color w:val="auto"/>
          <w:sz w:val="24"/>
          <w:highlight w:val="none"/>
        </w:rPr>
        <w:br w:type="page" w:clear="all"/>
      </w:r>
      <w:bookmarkStart w:id="378" w:name="_Toc19298"/>
      <w:bookmarkStart w:id="379" w:name="_Toc25377"/>
      <w:bookmarkStart w:id="380" w:name="_Toc3428"/>
      <w:r>
        <w:rPr>
          <w:rFonts w:hint="eastAsia" w:ascii="仿宋" w:hAnsi="仿宋" w:eastAsia="仿宋" w:cs="仿宋"/>
          <w:iCs/>
          <w:color w:val="auto"/>
          <w:sz w:val="32"/>
          <w:szCs w:val="32"/>
          <w:highlight w:val="none"/>
        </w:rPr>
        <w:t>十</w:t>
      </w:r>
      <w:r>
        <w:rPr>
          <w:rFonts w:hint="eastAsia" w:ascii="仿宋" w:hAnsi="仿宋" w:eastAsia="仿宋" w:cs="仿宋"/>
          <w:iCs/>
          <w:color w:val="auto"/>
          <w:sz w:val="32"/>
          <w:szCs w:val="32"/>
          <w:highlight w:val="none"/>
          <w:lang w:val="en-US" w:eastAsia="zh-CN"/>
        </w:rPr>
        <w:t xml:space="preserve">二 </w:t>
      </w:r>
      <w:r>
        <w:rPr>
          <w:rFonts w:hint="eastAsia" w:ascii="仿宋" w:hAnsi="仿宋" w:eastAsia="仿宋" w:cs="仿宋"/>
          <w:iCs/>
          <w:color w:val="auto"/>
          <w:sz w:val="32"/>
          <w:szCs w:val="32"/>
          <w:highlight w:val="none"/>
        </w:rPr>
        <w:t>、开标一览表</w:t>
      </w:r>
      <w:bookmarkEnd w:id="378"/>
      <w:bookmarkEnd w:id="379"/>
    </w:p>
    <w:p w14:paraId="1EA8BFCB">
      <w:pPr>
        <w:pStyle w:val="215"/>
        <w:spacing w:line="360" w:lineRule="auto"/>
        <w:jc w:val="center"/>
        <w:rPr>
          <w:rFonts w:ascii="仿宋" w:hAnsi="仿宋" w:eastAsia="仿宋" w:cs="仿宋"/>
          <w:b/>
          <w:bCs/>
          <w:iCs/>
          <w:color w:val="auto"/>
          <w:sz w:val="32"/>
          <w:szCs w:val="32"/>
          <w:highlight w:val="none"/>
        </w:rPr>
      </w:pPr>
      <w:r>
        <w:rPr>
          <w:rFonts w:hint="eastAsia" w:ascii="仿宋" w:hAnsi="仿宋" w:eastAsia="仿宋" w:cs="仿宋"/>
          <w:b/>
          <w:bCs/>
          <w:iCs/>
          <w:color w:val="auto"/>
          <w:sz w:val="32"/>
          <w:szCs w:val="32"/>
          <w:highlight w:val="none"/>
        </w:rPr>
        <w:t>（格式可根据项目情况自行调整）</w:t>
      </w:r>
    </w:p>
    <w:tbl>
      <w:tblPr>
        <w:tblStyle w:val="33"/>
        <w:tblW w:w="8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045"/>
        <w:gridCol w:w="5635"/>
      </w:tblGrid>
      <w:tr w14:paraId="5F505A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1" w:hRule="atLeast"/>
          <w:jc w:val="center"/>
        </w:trPr>
        <w:tc>
          <w:tcPr>
            <w:tcW w:w="3045" w:type="dxa"/>
            <w:tcBorders>
              <w:top w:val="single" w:color="000000" w:sz="4" w:space="0"/>
              <w:left w:val="single" w:color="000000" w:sz="4" w:space="0"/>
              <w:bottom w:val="single" w:color="000000" w:sz="4" w:space="0"/>
              <w:right w:val="single" w:color="000000" w:sz="4" w:space="0"/>
            </w:tcBorders>
            <w:vAlign w:val="center"/>
          </w:tcPr>
          <w:p w14:paraId="0DED73F0">
            <w:pPr>
              <w:pStyle w:val="215"/>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p>
        </w:tc>
        <w:tc>
          <w:tcPr>
            <w:tcW w:w="5635" w:type="dxa"/>
            <w:tcBorders>
              <w:top w:val="single" w:color="000000" w:sz="4" w:space="0"/>
              <w:left w:val="single" w:color="000000" w:sz="4" w:space="0"/>
              <w:bottom w:val="single" w:color="000000" w:sz="4" w:space="0"/>
              <w:right w:val="single" w:color="000000" w:sz="4" w:space="0"/>
            </w:tcBorders>
            <w:vAlign w:val="center"/>
          </w:tcPr>
          <w:p w14:paraId="3805D840">
            <w:pPr>
              <w:pStyle w:val="215"/>
              <w:spacing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u w:val="single"/>
                <w:lang w:eastAsia="zh-CN"/>
              </w:rPr>
              <w:t>高速公路交通情况统计调查、路网运行监测与管控辅助服务</w:t>
            </w:r>
          </w:p>
        </w:tc>
      </w:tr>
      <w:tr w14:paraId="320659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6" w:hRule="atLeast"/>
          <w:jc w:val="center"/>
        </w:trPr>
        <w:tc>
          <w:tcPr>
            <w:tcW w:w="3045" w:type="dxa"/>
            <w:tcBorders>
              <w:top w:val="single" w:color="000000" w:sz="4" w:space="0"/>
              <w:left w:val="single" w:color="000000" w:sz="4" w:space="0"/>
              <w:bottom w:val="single" w:color="000000" w:sz="4" w:space="0"/>
              <w:right w:val="single" w:color="000000" w:sz="4" w:space="0"/>
            </w:tcBorders>
            <w:vAlign w:val="center"/>
          </w:tcPr>
          <w:p w14:paraId="55DEAE5C">
            <w:pPr>
              <w:pStyle w:val="215"/>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项目编号</w:t>
            </w:r>
          </w:p>
        </w:tc>
        <w:tc>
          <w:tcPr>
            <w:tcW w:w="5635" w:type="dxa"/>
            <w:tcBorders>
              <w:top w:val="single" w:color="000000" w:sz="4" w:space="0"/>
              <w:left w:val="single" w:color="000000" w:sz="4" w:space="0"/>
              <w:bottom w:val="single" w:color="000000" w:sz="4" w:space="0"/>
              <w:right w:val="single" w:color="000000" w:sz="4" w:space="0"/>
            </w:tcBorders>
            <w:vAlign w:val="center"/>
          </w:tcPr>
          <w:p w14:paraId="0331306D">
            <w:pPr>
              <w:pStyle w:val="215"/>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eastAsia="zh-CN"/>
              </w:rPr>
              <w:t>JSZC-320000-JSQC-G2026-0027</w:t>
            </w:r>
          </w:p>
        </w:tc>
      </w:tr>
      <w:tr w14:paraId="2B9BBB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63" w:hRule="atLeast"/>
          <w:jc w:val="center"/>
        </w:trPr>
        <w:tc>
          <w:tcPr>
            <w:tcW w:w="3045" w:type="dxa"/>
            <w:tcBorders>
              <w:top w:val="nil"/>
              <w:left w:val="single" w:color="000000" w:sz="4" w:space="0"/>
              <w:bottom w:val="single" w:color="000000" w:sz="4" w:space="0"/>
              <w:right w:val="single" w:color="000000" w:sz="4" w:space="0"/>
            </w:tcBorders>
            <w:vAlign w:val="center"/>
          </w:tcPr>
          <w:p w14:paraId="16FBA382">
            <w:pPr>
              <w:pStyle w:val="215"/>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投标报价</w:t>
            </w:r>
          </w:p>
        </w:tc>
        <w:tc>
          <w:tcPr>
            <w:tcW w:w="5635" w:type="dxa"/>
            <w:tcBorders>
              <w:top w:val="nil"/>
              <w:left w:val="single" w:color="000000" w:sz="4" w:space="0"/>
              <w:bottom w:val="single" w:color="000000" w:sz="4" w:space="0"/>
              <w:right w:val="single" w:color="000000" w:sz="4" w:space="0"/>
            </w:tcBorders>
            <w:vAlign w:val="center"/>
          </w:tcPr>
          <w:p w14:paraId="5D151EA5">
            <w:pPr>
              <w:pStyle w:val="215"/>
              <w:spacing w:line="360" w:lineRule="auto"/>
              <w:jc w:val="center"/>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元（大写）</w:t>
            </w:r>
          </w:p>
          <w:p w14:paraId="22810FE4">
            <w:pPr>
              <w:pStyle w:val="215"/>
              <w:spacing w:line="360" w:lineRule="auto"/>
              <w:jc w:val="center"/>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元（小写）</w:t>
            </w:r>
          </w:p>
        </w:tc>
      </w:tr>
      <w:tr w14:paraId="5639C5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2" w:hRule="atLeast"/>
          <w:jc w:val="center"/>
        </w:trPr>
        <w:tc>
          <w:tcPr>
            <w:tcW w:w="3045" w:type="dxa"/>
            <w:tcBorders>
              <w:top w:val="single" w:color="000000" w:sz="4" w:space="0"/>
              <w:left w:val="single" w:color="000000" w:sz="4" w:space="0"/>
              <w:bottom w:val="single" w:color="000000" w:sz="4" w:space="0"/>
              <w:right w:val="single" w:color="000000" w:sz="4" w:space="0"/>
            </w:tcBorders>
            <w:vAlign w:val="center"/>
          </w:tcPr>
          <w:p w14:paraId="491048BB">
            <w:pPr>
              <w:pStyle w:val="215"/>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服务时间</w:t>
            </w:r>
          </w:p>
        </w:tc>
        <w:tc>
          <w:tcPr>
            <w:tcW w:w="5635" w:type="dxa"/>
            <w:tcBorders>
              <w:top w:val="single" w:color="000000" w:sz="4" w:space="0"/>
              <w:left w:val="single" w:color="000000" w:sz="4" w:space="0"/>
              <w:bottom w:val="single" w:color="000000" w:sz="4" w:space="0"/>
              <w:right w:val="single" w:color="000000" w:sz="4" w:space="0"/>
            </w:tcBorders>
            <w:vAlign w:val="center"/>
          </w:tcPr>
          <w:p w14:paraId="3FD68EB1">
            <w:pPr>
              <w:pStyle w:val="215"/>
              <w:spacing w:line="360" w:lineRule="auto"/>
              <w:jc w:val="center"/>
              <w:rPr>
                <w:rFonts w:ascii="仿宋" w:hAnsi="仿宋" w:eastAsia="仿宋" w:cs="仿宋"/>
                <w:color w:val="auto"/>
                <w:sz w:val="24"/>
                <w:szCs w:val="24"/>
                <w:highlight w:val="none"/>
              </w:rPr>
            </w:pPr>
          </w:p>
        </w:tc>
      </w:tr>
      <w:tr w14:paraId="235D53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92" w:hRule="atLeast"/>
          <w:jc w:val="center"/>
        </w:trPr>
        <w:tc>
          <w:tcPr>
            <w:tcW w:w="3045" w:type="dxa"/>
            <w:tcBorders>
              <w:top w:val="single" w:color="000000" w:sz="4" w:space="0"/>
              <w:left w:val="single" w:color="000000" w:sz="4" w:space="0"/>
              <w:bottom w:val="single" w:color="000000" w:sz="4" w:space="0"/>
              <w:right w:val="single" w:color="000000" w:sz="4" w:space="0"/>
            </w:tcBorders>
            <w:vAlign w:val="center"/>
          </w:tcPr>
          <w:p w14:paraId="54B2692B">
            <w:pPr>
              <w:widowControl/>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投标人是否为中小企业</w:t>
            </w:r>
          </w:p>
        </w:tc>
        <w:tc>
          <w:tcPr>
            <w:tcW w:w="5635" w:type="dxa"/>
            <w:tcBorders>
              <w:top w:val="single" w:color="000000" w:sz="4" w:space="0"/>
              <w:left w:val="single" w:color="000000" w:sz="4" w:space="0"/>
              <w:bottom w:val="single" w:color="000000" w:sz="4" w:space="0"/>
              <w:right w:val="single" w:color="000000" w:sz="4" w:space="0"/>
            </w:tcBorders>
            <w:vAlign w:val="center"/>
          </w:tcPr>
          <w:p w14:paraId="01E857FA">
            <w:pPr>
              <w:widowControl/>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是        □否</w:t>
            </w:r>
          </w:p>
        </w:tc>
      </w:tr>
    </w:tbl>
    <w:p w14:paraId="6610F449">
      <w:pPr>
        <w:widowControl/>
        <w:spacing w:line="360" w:lineRule="auto"/>
        <w:jc w:val="left"/>
        <w:rPr>
          <w:rFonts w:ascii="宋体" w:hAnsi="宋体"/>
          <w:color w:val="auto"/>
          <w:highlight w:val="none"/>
        </w:rPr>
      </w:pPr>
      <w:r>
        <w:rPr>
          <w:rFonts w:hint="eastAsia" w:ascii="宋体" w:hAnsi="宋体"/>
          <w:color w:val="auto"/>
          <w:highlight w:val="none"/>
        </w:rPr>
        <w:t xml:space="preserve"> </w:t>
      </w:r>
    </w:p>
    <w:p w14:paraId="03DC66E3">
      <w:pPr>
        <w:widowControl/>
        <w:spacing w:line="360" w:lineRule="auto"/>
        <w:jc w:val="left"/>
        <w:rPr>
          <w:rFonts w:ascii="仿宋" w:hAnsi="仿宋" w:eastAsia="仿宋" w:cs="仿宋"/>
          <w:color w:val="auto"/>
          <w:highlight w:val="none"/>
        </w:rPr>
      </w:pPr>
      <w:r>
        <w:rPr>
          <w:rFonts w:hint="eastAsia" w:ascii="仿宋" w:hAnsi="仿宋" w:eastAsia="仿宋" w:cs="仿宋"/>
          <w:color w:val="auto"/>
          <w:highlight w:val="none"/>
        </w:rPr>
        <w:t>说明：</w:t>
      </w:r>
    </w:p>
    <w:p w14:paraId="54FD5508">
      <w:pPr>
        <w:widowControl/>
        <w:spacing w:line="360" w:lineRule="auto"/>
        <w:ind w:firstLine="420"/>
        <w:jc w:val="left"/>
        <w:rPr>
          <w:rFonts w:ascii="仿宋" w:hAnsi="仿宋" w:eastAsia="仿宋" w:cs="仿宋"/>
          <w:color w:val="auto"/>
          <w:highlight w:val="none"/>
        </w:rPr>
      </w:pPr>
      <w:r>
        <w:rPr>
          <w:rFonts w:hint="eastAsia" w:ascii="仿宋" w:hAnsi="仿宋" w:eastAsia="仿宋" w:cs="仿宋"/>
          <w:color w:val="auto"/>
          <w:highlight w:val="none"/>
        </w:rPr>
        <w:t>1、本项目仅接受一个价格，不得填报有选择性报价方案。</w:t>
      </w:r>
    </w:p>
    <w:p w14:paraId="2955F24A">
      <w:pPr>
        <w:widowControl/>
        <w:spacing w:line="360" w:lineRule="auto"/>
        <w:ind w:firstLine="420"/>
        <w:jc w:val="left"/>
        <w:rPr>
          <w:rFonts w:ascii="仿宋" w:hAnsi="仿宋" w:eastAsia="仿宋" w:cs="仿宋"/>
          <w:color w:val="auto"/>
          <w:highlight w:val="none"/>
        </w:rPr>
      </w:pPr>
      <w:r>
        <w:rPr>
          <w:rFonts w:hint="eastAsia" w:ascii="仿宋" w:hAnsi="仿宋" w:eastAsia="仿宋" w:cs="仿宋"/>
          <w:color w:val="auto"/>
          <w:highlight w:val="none"/>
        </w:rPr>
        <w:t>2、投标文件所报的投标价格不得超过招标文件规定的预算价、限价，超过招标文件规定的，按无效投标处理。</w:t>
      </w:r>
    </w:p>
    <w:p w14:paraId="1CC73397">
      <w:pPr>
        <w:widowControl/>
        <w:spacing w:line="360" w:lineRule="auto"/>
        <w:ind w:firstLine="420"/>
        <w:jc w:val="left"/>
        <w:rPr>
          <w:rFonts w:ascii="仿宋" w:hAnsi="仿宋" w:eastAsia="仿宋" w:cs="仿宋"/>
          <w:color w:val="auto"/>
          <w:highlight w:val="none"/>
        </w:rPr>
      </w:pPr>
      <w:r>
        <w:rPr>
          <w:rFonts w:hint="eastAsia" w:ascii="仿宋" w:hAnsi="仿宋" w:eastAsia="仿宋" w:cs="仿宋"/>
          <w:color w:val="auto"/>
          <w:highlight w:val="none"/>
        </w:rPr>
        <w:t>3、《开标一览表》除需要装订在投标文件中外，还应另外单独用信封封装，并标明“开标一览表”字样，随投标文件一并递交，以便评标时使用。</w:t>
      </w:r>
    </w:p>
    <w:p w14:paraId="4AF1B911">
      <w:pPr>
        <w:widowControl/>
        <w:spacing w:line="360" w:lineRule="auto"/>
        <w:ind w:firstLine="420"/>
        <w:jc w:val="left"/>
        <w:rPr>
          <w:rFonts w:ascii="仿宋" w:hAnsi="仿宋" w:eastAsia="仿宋" w:cs="仿宋"/>
          <w:color w:val="auto"/>
          <w:highlight w:val="none"/>
        </w:rPr>
      </w:pPr>
      <w:r>
        <w:rPr>
          <w:rFonts w:hint="eastAsia" w:ascii="仿宋" w:hAnsi="仿宋" w:eastAsia="仿宋" w:cs="仿宋"/>
          <w:color w:val="auto"/>
          <w:highlight w:val="none"/>
        </w:rPr>
        <w:t>4、投标人须根据企业自身实际情况，在“投标人是否为中小企业”栏后“是”或“否”上打“√”。</w:t>
      </w:r>
    </w:p>
    <w:p w14:paraId="7EBEA9A4">
      <w:pPr>
        <w:spacing w:line="360" w:lineRule="auto"/>
        <w:ind w:firstLine="480"/>
        <w:jc w:val="right"/>
        <w:rPr>
          <w:rFonts w:ascii="仿宋" w:hAnsi="仿宋" w:eastAsia="仿宋" w:cs="仿宋"/>
          <w:color w:val="auto"/>
          <w:sz w:val="24"/>
          <w:szCs w:val="24"/>
          <w:highlight w:val="none"/>
        </w:rPr>
      </w:pPr>
    </w:p>
    <w:p w14:paraId="70BDDCBB">
      <w:pPr>
        <w:spacing w:line="360" w:lineRule="auto"/>
        <w:ind w:firstLine="480"/>
        <w:jc w:val="right"/>
        <w:rPr>
          <w:rFonts w:ascii="仿宋" w:hAnsi="仿宋" w:eastAsia="仿宋" w:cs="仿宋"/>
          <w:color w:val="auto"/>
          <w:sz w:val="24"/>
          <w:szCs w:val="24"/>
          <w:highlight w:val="none"/>
        </w:rPr>
      </w:pPr>
    </w:p>
    <w:p w14:paraId="167A14D0">
      <w:pPr>
        <w:spacing w:line="360" w:lineRule="auto"/>
        <w:ind w:firstLine="480"/>
        <w:jc w:val="right"/>
        <w:rPr>
          <w:rFonts w:ascii="仿宋" w:hAnsi="仿宋" w:eastAsia="仿宋" w:cs="仿宋"/>
          <w:color w:val="auto"/>
          <w:sz w:val="24"/>
          <w:szCs w:val="24"/>
          <w:highlight w:val="none"/>
        </w:rPr>
      </w:pPr>
    </w:p>
    <w:p w14:paraId="04B66882">
      <w:pPr>
        <w:spacing w:line="360" w:lineRule="auto"/>
        <w:ind w:firstLine="480"/>
        <w:jc w:val="center"/>
        <w:rPr>
          <w:rFonts w:ascii="仿宋" w:hAnsi="仿宋" w:eastAsia="仿宋" w:cs="仿宋"/>
          <w:color w:val="auto"/>
          <w:highlight w:val="none"/>
        </w:rPr>
      </w:pPr>
      <w:r>
        <w:rPr>
          <w:rFonts w:hint="eastAsia" w:ascii="仿宋" w:hAnsi="仿宋" w:eastAsia="仿宋" w:cs="仿宋"/>
          <w:color w:val="auto"/>
          <w:highlight w:val="none"/>
        </w:rPr>
        <w:t>投标人全称（加盖公章）：</w:t>
      </w:r>
    </w:p>
    <w:p w14:paraId="7E656285">
      <w:pPr>
        <w:spacing w:line="360" w:lineRule="auto"/>
        <w:jc w:val="center"/>
        <w:rPr>
          <w:rFonts w:ascii="仿宋" w:hAnsi="仿宋" w:eastAsia="仿宋" w:cs="仿宋"/>
          <w:color w:val="auto"/>
          <w:highlight w:val="none"/>
        </w:rPr>
      </w:pPr>
      <w:r>
        <w:rPr>
          <w:rFonts w:hint="eastAsia" w:ascii="仿宋" w:hAnsi="仿宋" w:eastAsia="仿宋" w:cs="仿宋"/>
          <w:color w:val="auto"/>
          <w:highlight w:val="none"/>
        </w:rPr>
        <w:t xml:space="preserve">    法人或授权代表（签字）：</w:t>
      </w:r>
    </w:p>
    <w:p w14:paraId="402813A8">
      <w:pPr>
        <w:spacing w:line="360" w:lineRule="auto"/>
        <w:ind w:firstLine="480"/>
        <w:rPr>
          <w:rFonts w:ascii="仿宋" w:hAnsi="仿宋" w:eastAsia="仿宋" w:cs="仿宋"/>
          <w:color w:val="auto"/>
          <w:highlight w:val="none"/>
        </w:rPr>
      </w:pPr>
      <w:r>
        <w:rPr>
          <w:rFonts w:hint="eastAsia" w:ascii="仿宋" w:hAnsi="仿宋" w:eastAsia="仿宋" w:cs="仿宋"/>
          <w:color w:val="auto"/>
          <w:highlight w:val="none"/>
        </w:rPr>
        <w:t xml:space="preserve">                                                             日期：</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日</w:t>
      </w:r>
    </w:p>
    <w:p w14:paraId="7A57B341">
      <w:pPr>
        <w:pStyle w:val="191"/>
        <w:spacing w:after="100" w:line="360" w:lineRule="auto"/>
        <w:jc w:val="left"/>
        <w:rPr>
          <w:rFonts w:ascii="仿宋" w:hAnsi="仿宋" w:eastAsia="仿宋" w:cs="仿宋"/>
          <w:iCs/>
          <w:color w:val="auto"/>
          <w:sz w:val="32"/>
          <w:szCs w:val="32"/>
          <w:highlight w:val="none"/>
        </w:rPr>
      </w:pPr>
      <w:r>
        <w:rPr>
          <w:rFonts w:hint="eastAsia" w:ascii="仿宋" w:hAnsi="仿宋" w:eastAsia="仿宋" w:cs="仿宋"/>
          <w:iCs/>
          <w:color w:val="auto"/>
          <w:sz w:val="32"/>
          <w:szCs w:val="32"/>
          <w:highlight w:val="none"/>
        </w:rPr>
        <w:br w:type="page"/>
      </w:r>
      <w:bookmarkStart w:id="381" w:name="_Toc19975"/>
      <w:r>
        <w:rPr>
          <w:rFonts w:hint="eastAsia" w:ascii="仿宋" w:hAnsi="仿宋" w:eastAsia="仿宋" w:cs="仿宋"/>
          <w:iCs/>
          <w:color w:val="auto"/>
          <w:sz w:val="32"/>
          <w:szCs w:val="32"/>
          <w:highlight w:val="none"/>
        </w:rPr>
        <w:t>十</w:t>
      </w:r>
      <w:r>
        <w:rPr>
          <w:rFonts w:hint="eastAsia" w:ascii="仿宋" w:hAnsi="仿宋" w:eastAsia="仿宋" w:cs="仿宋"/>
          <w:iCs/>
          <w:color w:val="auto"/>
          <w:sz w:val="32"/>
          <w:szCs w:val="32"/>
          <w:highlight w:val="none"/>
          <w:lang w:val="en-US" w:eastAsia="zh-CN"/>
        </w:rPr>
        <w:t>三</w:t>
      </w:r>
      <w:r>
        <w:rPr>
          <w:rFonts w:hint="eastAsia" w:ascii="仿宋" w:hAnsi="仿宋" w:eastAsia="仿宋" w:cs="仿宋"/>
          <w:iCs/>
          <w:color w:val="auto"/>
          <w:sz w:val="32"/>
          <w:szCs w:val="32"/>
          <w:highlight w:val="none"/>
        </w:rPr>
        <w:t>、投标分项报价表</w:t>
      </w:r>
      <w:bookmarkEnd w:id="380"/>
      <w:bookmarkEnd w:id="381"/>
    </w:p>
    <w:p w14:paraId="2C80FDA9">
      <w:pPr>
        <w:widowControl/>
        <w:spacing w:line="360" w:lineRule="auto"/>
        <w:jc w:val="center"/>
        <w:rPr>
          <w:rFonts w:hint="eastAsia" w:ascii="仿宋" w:hAnsi="仿宋" w:eastAsia="仿宋" w:cs="仿宋"/>
          <w:color w:val="auto"/>
          <w:sz w:val="24"/>
          <w:szCs w:val="24"/>
          <w:highlight w:val="none"/>
        </w:rPr>
      </w:pPr>
    </w:p>
    <w:p w14:paraId="7FA13729">
      <w:pPr>
        <w:widowControl/>
        <w:spacing w:line="360" w:lineRule="auto"/>
        <w:jc w:val="center"/>
        <w:rPr>
          <w:rFonts w:ascii="仿宋" w:hAnsi="仿宋" w:eastAsia="仿宋" w:cs="仿宋"/>
          <w:color w:val="auto"/>
          <w:highlight w:val="none"/>
        </w:rPr>
      </w:pPr>
      <w:r>
        <w:rPr>
          <w:rFonts w:hint="eastAsia" w:ascii="仿宋" w:hAnsi="仿宋" w:eastAsia="仿宋" w:cs="仿宋"/>
          <w:color w:val="auto"/>
          <w:sz w:val="24"/>
          <w:szCs w:val="24"/>
          <w:highlight w:val="none"/>
        </w:rPr>
        <w:t>本表可根据项目实际情况，自行调整</w:t>
      </w:r>
    </w:p>
    <w:tbl>
      <w:tblPr>
        <w:tblStyle w:val="33"/>
        <w:tblW w:w="979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8"/>
        <w:gridCol w:w="1729"/>
        <w:gridCol w:w="1431"/>
        <w:gridCol w:w="1061"/>
        <w:gridCol w:w="1274"/>
        <w:gridCol w:w="1652"/>
        <w:gridCol w:w="1699"/>
      </w:tblGrid>
      <w:tr w14:paraId="321281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948" w:type="dxa"/>
            <w:vAlign w:val="center"/>
          </w:tcPr>
          <w:p w14:paraId="230CFC95">
            <w:pPr>
              <w:spacing w:line="24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1729" w:type="dxa"/>
            <w:vAlign w:val="center"/>
          </w:tcPr>
          <w:p w14:paraId="7E209463">
            <w:pPr>
              <w:spacing w:line="24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分项服务名称</w:t>
            </w:r>
          </w:p>
        </w:tc>
        <w:tc>
          <w:tcPr>
            <w:tcW w:w="1431" w:type="dxa"/>
            <w:vAlign w:val="center"/>
          </w:tcPr>
          <w:p w14:paraId="799B5AAC">
            <w:pPr>
              <w:spacing w:line="24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分项单位</w:t>
            </w:r>
          </w:p>
        </w:tc>
        <w:tc>
          <w:tcPr>
            <w:tcW w:w="1061" w:type="dxa"/>
            <w:vAlign w:val="center"/>
          </w:tcPr>
          <w:p w14:paraId="03007602">
            <w:pPr>
              <w:spacing w:line="24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数量</w:t>
            </w:r>
          </w:p>
        </w:tc>
        <w:tc>
          <w:tcPr>
            <w:tcW w:w="1274" w:type="dxa"/>
            <w:vAlign w:val="center"/>
          </w:tcPr>
          <w:p w14:paraId="2A4287C6">
            <w:pPr>
              <w:spacing w:line="24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分项单价</w:t>
            </w:r>
          </w:p>
        </w:tc>
        <w:tc>
          <w:tcPr>
            <w:tcW w:w="1652" w:type="dxa"/>
            <w:vAlign w:val="center"/>
          </w:tcPr>
          <w:p w14:paraId="5CCEFDDA">
            <w:pPr>
              <w:spacing w:line="24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分项总价</w:t>
            </w:r>
          </w:p>
        </w:tc>
        <w:tc>
          <w:tcPr>
            <w:tcW w:w="1699" w:type="dxa"/>
            <w:vAlign w:val="center"/>
          </w:tcPr>
          <w:p w14:paraId="2BA3EFC6">
            <w:pPr>
              <w:spacing w:line="24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交付期</w:t>
            </w:r>
          </w:p>
        </w:tc>
      </w:tr>
      <w:tr w14:paraId="7E328F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948" w:type="dxa"/>
            <w:vAlign w:val="center"/>
          </w:tcPr>
          <w:p w14:paraId="396156D6">
            <w:pPr>
              <w:spacing w:line="24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729" w:type="dxa"/>
            <w:vAlign w:val="center"/>
          </w:tcPr>
          <w:p w14:paraId="47BAB0A6">
            <w:pPr>
              <w:spacing w:line="240" w:lineRule="auto"/>
              <w:jc w:val="center"/>
              <w:rPr>
                <w:rFonts w:ascii="仿宋" w:hAnsi="仿宋" w:eastAsia="仿宋" w:cs="仿宋"/>
                <w:color w:val="auto"/>
                <w:sz w:val="24"/>
                <w:szCs w:val="24"/>
                <w:highlight w:val="none"/>
              </w:rPr>
            </w:pPr>
          </w:p>
        </w:tc>
        <w:tc>
          <w:tcPr>
            <w:tcW w:w="1431" w:type="dxa"/>
            <w:vAlign w:val="center"/>
          </w:tcPr>
          <w:p w14:paraId="4A888AE2">
            <w:pPr>
              <w:spacing w:line="240" w:lineRule="auto"/>
              <w:jc w:val="center"/>
              <w:rPr>
                <w:rFonts w:ascii="仿宋" w:hAnsi="仿宋" w:eastAsia="仿宋" w:cs="仿宋"/>
                <w:color w:val="auto"/>
                <w:sz w:val="24"/>
                <w:szCs w:val="24"/>
                <w:highlight w:val="none"/>
              </w:rPr>
            </w:pPr>
          </w:p>
        </w:tc>
        <w:tc>
          <w:tcPr>
            <w:tcW w:w="1061" w:type="dxa"/>
            <w:vAlign w:val="center"/>
          </w:tcPr>
          <w:p w14:paraId="623212AA">
            <w:pPr>
              <w:spacing w:line="240" w:lineRule="auto"/>
              <w:jc w:val="center"/>
              <w:rPr>
                <w:rFonts w:ascii="仿宋" w:hAnsi="仿宋" w:eastAsia="仿宋" w:cs="仿宋"/>
                <w:color w:val="auto"/>
                <w:sz w:val="24"/>
                <w:szCs w:val="24"/>
                <w:highlight w:val="none"/>
              </w:rPr>
            </w:pPr>
          </w:p>
        </w:tc>
        <w:tc>
          <w:tcPr>
            <w:tcW w:w="1274" w:type="dxa"/>
            <w:vAlign w:val="center"/>
          </w:tcPr>
          <w:p w14:paraId="508D461E">
            <w:pPr>
              <w:spacing w:line="240" w:lineRule="auto"/>
              <w:jc w:val="center"/>
              <w:rPr>
                <w:rFonts w:ascii="仿宋" w:hAnsi="仿宋" w:eastAsia="仿宋" w:cs="仿宋"/>
                <w:color w:val="auto"/>
                <w:sz w:val="24"/>
                <w:szCs w:val="24"/>
                <w:highlight w:val="none"/>
              </w:rPr>
            </w:pPr>
          </w:p>
        </w:tc>
        <w:tc>
          <w:tcPr>
            <w:tcW w:w="1652" w:type="dxa"/>
            <w:vAlign w:val="center"/>
          </w:tcPr>
          <w:p w14:paraId="0D94BC21">
            <w:pPr>
              <w:spacing w:line="240" w:lineRule="auto"/>
              <w:jc w:val="center"/>
              <w:rPr>
                <w:rFonts w:ascii="仿宋" w:hAnsi="仿宋" w:eastAsia="仿宋" w:cs="仿宋"/>
                <w:color w:val="auto"/>
                <w:sz w:val="24"/>
                <w:szCs w:val="24"/>
                <w:highlight w:val="none"/>
              </w:rPr>
            </w:pPr>
          </w:p>
        </w:tc>
        <w:tc>
          <w:tcPr>
            <w:tcW w:w="1699" w:type="dxa"/>
            <w:vAlign w:val="center"/>
          </w:tcPr>
          <w:p w14:paraId="7B8D1C80">
            <w:pPr>
              <w:spacing w:line="240" w:lineRule="auto"/>
              <w:jc w:val="center"/>
              <w:rPr>
                <w:rFonts w:ascii="仿宋" w:hAnsi="仿宋" w:eastAsia="仿宋" w:cs="仿宋"/>
                <w:color w:val="auto"/>
                <w:sz w:val="24"/>
                <w:szCs w:val="24"/>
                <w:highlight w:val="none"/>
              </w:rPr>
            </w:pPr>
          </w:p>
        </w:tc>
      </w:tr>
      <w:tr w14:paraId="462717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948" w:type="dxa"/>
            <w:vAlign w:val="center"/>
          </w:tcPr>
          <w:p w14:paraId="746E9941">
            <w:pPr>
              <w:spacing w:line="24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1729" w:type="dxa"/>
            <w:vAlign w:val="center"/>
          </w:tcPr>
          <w:p w14:paraId="457AB94D">
            <w:pPr>
              <w:spacing w:line="240" w:lineRule="auto"/>
              <w:jc w:val="center"/>
              <w:rPr>
                <w:rFonts w:ascii="仿宋" w:hAnsi="仿宋" w:eastAsia="仿宋" w:cs="仿宋"/>
                <w:color w:val="auto"/>
                <w:sz w:val="24"/>
                <w:szCs w:val="24"/>
                <w:highlight w:val="none"/>
              </w:rPr>
            </w:pPr>
          </w:p>
        </w:tc>
        <w:tc>
          <w:tcPr>
            <w:tcW w:w="1431" w:type="dxa"/>
            <w:vAlign w:val="center"/>
          </w:tcPr>
          <w:p w14:paraId="1909025D">
            <w:pPr>
              <w:spacing w:line="240" w:lineRule="auto"/>
              <w:jc w:val="center"/>
              <w:rPr>
                <w:rFonts w:ascii="仿宋" w:hAnsi="仿宋" w:eastAsia="仿宋" w:cs="仿宋"/>
                <w:color w:val="auto"/>
                <w:sz w:val="24"/>
                <w:szCs w:val="24"/>
                <w:highlight w:val="none"/>
              </w:rPr>
            </w:pPr>
          </w:p>
        </w:tc>
        <w:tc>
          <w:tcPr>
            <w:tcW w:w="1061" w:type="dxa"/>
            <w:vAlign w:val="center"/>
          </w:tcPr>
          <w:p w14:paraId="034667CC">
            <w:pPr>
              <w:spacing w:line="240" w:lineRule="auto"/>
              <w:jc w:val="center"/>
              <w:rPr>
                <w:rFonts w:ascii="仿宋" w:hAnsi="仿宋" w:eastAsia="仿宋" w:cs="仿宋"/>
                <w:color w:val="auto"/>
                <w:sz w:val="24"/>
                <w:szCs w:val="24"/>
                <w:highlight w:val="none"/>
              </w:rPr>
            </w:pPr>
          </w:p>
        </w:tc>
        <w:tc>
          <w:tcPr>
            <w:tcW w:w="1274" w:type="dxa"/>
            <w:vAlign w:val="center"/>
          </w:tcPr>
          <w:p w14:paraId="5CEE176B">
            <w:pPr>
              <w:spacing w:line="240" w:lineRule="auto"/>
              <w:jc w:val="center"/>
              <w:rPr>
                <w:rFonts w:ascii="仿宋" w:hAnsi="仿宋" w:eastAsia="仿宋" w:cs="仿宋"/>
                <w:color w:val="auto"/>
                <w:sz w:val="24"/>
                <w:szCs w:val="24"/>
                <w:highlight w:val="none"/>
              </w:rPr>
            </w:pPr>
          </w:p>
        </w:tc>
        <w:tc>
          <w:tcPr>
            <w:tcW w:w="1652" w:type="dxa"/>
            <w:vAlign w:val="center"/>
          </w:tcPr>
          <w:p w14:paraId="042261CD">
            <w:pPr>
              <w:spacing w:line="240" w:lineRule="auto"/>
              <w:jc w:val="center"/>
              <w:rPr>
                <w:rFonts w:ascii="仿宋" w:hAnsi="仿宋" w:eastAsia="仿宋" w:cs="仿宋"/>
                <w:color w:val="auto"/>
                <w:sz w:val="24"/>
                <w:szCs w:val="24"/>
                <w:highlight w:val="none"/>
              </w:rPr>
            </w:pPr>
          </w:p>
        </w:tc>
        <w:tc>
          <w:tcPr>
            <w:tcW w:w="1699" w:type="dxa"/>
            <w:vAlign w:val="center"/>
          </w:tcPr>
          <w:p w14:paraId="3E72EE66">
            <w:pPr>
              <w:spacing w:line="240" w:lineRule="auto"/>
              <w:jc w:val="center"/>
              <w:rPr>
                <w:rFonts w:ascii="仿宋" w:hAnsi="仿宋" w:eastAsia="仿宋" w:cs="仿宋"/>
                <w:color w:val="auto"/>
                <w:sz w:val="24"/>
                <w:szCs w:val="24"/>
                <w:highlight w:val="none"/>
              </w:rPr>
            </w:pPr>
          </w:p>
        </w:tc>
      </w:tr>
      <w:tr w14:paraId="27F7AA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948" w:type="dxa"/>
            <w:vAlign w:val="center"/>
          </w:tcPr>
          <w:p w14:paraId="1A01D734">
            <w:pPr>
              <w:spacing w:line="24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1729" w:type="dxa"/>
            <w:vAlign w:val="center"/>
          </w:tcPr>
          <w:p w14:paraId="07DD7FF5">
            <w:pPr>
              <w:spacing w:line="240" w:lineRule="auto"/>
              <w:jc w:val="center"/>
              <w:rPr>
                <w:rFonts w:ascii="仿宋" w:hAnsi="仿宋" w:eastAsia="仿宋" w:cs="仿宋"/>
                <w:color w:val="auto"/>
                <w:sz w:val="24"/>
                <w:szCs w:val="24"/>
                <w:highlight w:val="none"/>
              </w:rPr>
            </w:pPr>
          </w:p>
        </w:tc>
        <w:tc>
          <w:tcPr>
            <w:tcW w:w="1431" w:type="dxa"/>
            <w:vAlign w:val="center"/>
          </w:tcPr>
          <w:p w14:paraId="3040C82D">
            <w:pPr>
              <w:spacing w:line="240" w:lineRule="auto"/>
              <w:jc w:val="center"/>
              <w:rPr>
                <w:rFonts w:ascii="仿宋" w:hAnsi="仿宋" w:eastAsia="仿宋" w:cs="仿宋"/>
                <w:color w:val="auto"/>
                <w:sz w:val="24"/>
                <w:szCs w:val="24"/>
                <w:highlight w:val="none"/>
              </w:rPr>
            </w:pPr>
          </w:p>
        </w:tc>
        <w:tc>
          <w:tcPr>
            <w:tcW w:w="1061" w:type="dxa"/>
            <w:vAlign w:val="center"/>
          </w:tcPr>
          <w:p w14:paraId="4CDDFC78">
            <w:pPr>
              <w:spacing w:line="240" w:lineRule="auto"/>
              <w:jc w:val="center"/>
              <w:rPr>
                <w:rFonts w:ascii="仿宋" w:hAnsi="仿宋" w:eastAsia="仿宋" w:cs="仿宋"/>
                <w:color w:val="auto"/>
                <w:sz w:val="24"/>
                <w:szCs w:val="24"/>
                <w:highlight w:val="none"/>
              </w:rPr>
            </w:pPr>
          </w:p>
        </w:tc>
        <w:tc>
          <w:tcPr>
            <w:tcW w:w="1274" w:type="dxa"/>
            <w:vAlign w:val="center"/>
          </w:tcPr>
          <w:p w14:paraId="05025E1C">
            <w:pPr>
              <w:spacing w:line="240" w:lineRule="auto"/>
              <w:jc w:val="center"/>
              <w:rPr>
                <w:rFonts w:ascii="仿宋" w:hAnsi="仿宋" w:eastAsia="仿宋" w:cs="仿宋"/>
                <w:color w:val="auto"/>
                <w:sz w:val="24"/>
                <w:szCs w:val="24"/>
                <w:highlight w:val="none"/>
              </w:rPr>
            </w:pPr>
          </w:p>
        </w:tc>
        <w:tc>
          <w:tcPr>
            <w:tcW w:w="1652" w:type="dxa"/>
            <w:vAlign w:val="center"/>
          </w:tcPr>
          <w:p w14:paraId="32FD3A58">
            <w:pPr>
              <w:spacing w:line="240" w:lineRule="auto"/>
              <w:jc w:val="center"/>
              <w:rPr>
                <w:rFonts w:ascii="仿宋" w:hAnsi="仿宋" w:eastAsia="仿宋" w:cs="仿宋"/>
                <w:color w:val="auto"/>
                <w:sz w:val="24"/>
                <w:szCs w:val="24"/>
                <w:highlight w:val="none"/>
              </w:rPr>
            </w:pPr>
          </w:p>
        </w:tc>
        <w:tc>
          <w:tcPr>
            <w:tcW w:w="1699" w:type="dxa"/>
            <w:vAlign w:val="center"/>
          </w:tcPr>
          <w:p w14:paraId="0E3AF734">
            <w:pPr>
              <w:spacing w:line="240" w:lineRule="auto"/>
              <w:jc w:val="center"/>
              <w:rPr>
                <w:rFonts w:ascii="仿宋" w:hAnsi="仿宋" w:eastAsia="仿宋" w:cs="仿宋"/>
                <w:color w:val="auto"/>
                <w:sz w:val="24"/>
                <w:szCs w:val="24"/>
                <w:highlight w:val="none"/>
              </w:rPr>
            </w:pPr>
          </w:p>
        </w:tc>
      </w:tr>
      <w:tr w14:paraId="1E1A09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948" w:type="dxa"/>
            <w:vAlign w:val="center"/>
          </w:tcPr>
          <w:p w14:paraId="7938C103">
            <w:pPr>
              <w:spacing w:line="24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1729" w:type="dxa"/>
            <w:vAlign w:val="center"/>
          </w:tcPr>
          <w:p w14:paraId="24670103">
            <w:pPr>
              <w:spacing w:line="24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1431" w:type="dxa"/>
            <w:vAlign w:val="center"/>
          </w:tcPr>
          <w:p w14:paraId="0DF844EE">
            <w:pPr>
              <w:spacing w:line="240" w:lineRule="auto"/>
              <w:jc w:val="center"/>
              <w:rPr>
                <w:rFonts w:ascii="仿宋" w:hAnsi="仿宋" w:eastAsia="仿宋" w:cs="仿宋"/>
                <w:color w:val="auto"/>
                <w:sz w:val="24"/>
                <w:szCs w:val="24"/>
                <w:highlight w:val="none"/>
              </w:rPr>
            </w:pPr>
          </w:p>
        </w:tc>
        <w:tc>
          <w:tcPr>
            <w:tcW w:w="1061" w:type="dxa"/>
            <w:vAlign w:val="center"/>
          </w:tcPr>
          <w:p w14:paraId="79EB1FA2">
            <w:pPr>
              <w:spacing w:line="240" w:lineRule="auto"/>
              <w:jc w:val="center"/>
              <w:rPr>
                <w:rFonts w:ascii="仿宋" w:hAnsi="仿宋" w:eastAsia="仿宋" w:cs="仿宋"/>
                <w:color w:val="auto"/>
                <w:sz w:val="24"/>
                <w:szCs w:val="24"/>
                <w:highlight w:val="none"/>
              </w:rPr>
            </w:pPr>
          </w:p>
        </w:tc>
        <w:tc>
          <w:tcPr>
            <w:tcW w:w="1274" w:type="dxa"/>
            <w:vAlign w:val="center"/>
          </w:tcPr>
          <w:p w14:paraId="6B11BE42">
            <w:pPr>
              <w:spacing w:line="240" w:lineRule="auto"/>
              <w:jc w:val="center"/>
              <w:rPr>
                <w:rFonts w:ascii="仿宋" w:hAnsi="仿宋" w:eastAsia="仿宋" w:cs="仿宋"/>
                <w:color w:val="auto"/>
                <w:sz w:val="24"/>
                <w:szCs w:val="24"/>
                <w:highlight w:val="none"/>
              </w:rPr>
            </w:pPr>
          </w:p>
        </w:tc>
        <w:tc>
          <w:tcPr>
            <w:tcW w:w="1652" w:type="dxa"/>
            <w:vAlign w:val="center"/>
          </w:tcPr>
          <w:p w14:paraId="680E7C63">
            <w:pPr>
              <w:spacing w:line="240" w:lineRule="auto"/>
              <w:jc w:val="center"/>
              <w:rPr>
                <w:rFonts w:ascii="仿宋" w:hAnsi="仿宋" w:eastAsia="仿宋" w:cs="仿宋"/>
                <w:color w:val="auto"/>
                <w:sz w:val="24"/>
                <w:szCs w:val="24"/>
                <w:highlight w:val="none"/>
              </w:rPr>
            </w:pPr>
          </w:p>
        </w:tc>
        <w:tc>
          <w:tcPr>
            <w:tcW w:w="1699" w:type="dxa"/>
            <w:vAlign w:val="center"/>
          </w:tcPr>
          <w:p w14:paraId="74CFD056">
            <w:pPr>
              <w:spacing w:line="240" w:lineRule="auto"/>
              <w:jc w:val="center"/>
              <w:rPr>
                <w:rFonts w:ascii="仿宋" w:hAnsi="仿宋" w:eastAsia="仿宋" w:cs="仿宋"/>
                <w:color w:val="auto"/>
                <w:sz w:val="24"/>
                <w:szCs w:val="24"/>
                <w:highlight w:val="none"/>
              </w:rPr>
            </w:pPr>
          </w:p>
        </w:tc>
      </w:tr>
      <w:tr w14:paraId="25987C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7" w:hRule="atLeast"/>
        </w:trPr>
        <w:tc>
          <w:tcPr>
            <w:tcW w:w="8095" w:type="dxa"/>
            <w:gridSpan w:val="6"/>
            <w:vAlign w:val="center"/>
          </w:tcPr>
          <w:p w14:paraId="4FC0E393">
            <w:pPr>
              <w:spacing w:line="24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投标总报价（人民币：元）</w:t>
            </w:r>
          </w:p>
        </w:tc>
        <w:tc>
          <w:tcPr>
            <w:tcW w:w="1699" w:type="dxa"/>
            <w:vAlign w:val="center"/>
          </w:tcPr>
          <w:p w14:paraId="40DBA6A2">
            <w:pPr>
              <w:spacing w:line="240" w:lineRule="auto"/>
              <w:jc w:val="center"/>
              <w:rPr>
                <w:rFonts w:ascii="仿宋" w:hAnsi="仿宋" w:eastAsia="仿宋" w:cs="仿宋"/>
                <w:color w:val="auto"/>
                <w:sz w:val="24"/>
                <w:szCs w:val="24"/>
                <w:highlight w:val="none"/>
              </w:rPr>
            </w:pPr>
          </w:p>
        </w:tc>
      </w:tr>
    </w:tbl>
    <w:p w14:paraId="439118DC">
      <w:pPr>
        <w:widowControl/>
        <w:spacing w:line="360" w:lineRule="auto"/>
        <w:jc w:val="left"/>
        <w:rPr>
          <w:rFonts w:ascii="仿宋" w:hAnsi="仿宋" w:eastAsia="仿宋" w:cs="仿宋"/>
          <w:color w:val="auto"/>
          <w:highlight w:val="none"/>
        </w:rPr>
      </w:pPr>
    </w:p>
    <w:p w14:paraId="69652B63">
      <w:pPr>
        <w:widowControl/>
        <w:spacing w:line="360" w:lineRule="auto"/>
        <w:jc w:val="left"/>
        <w:rPr>
          <w:rFonts w:ascii="仿宋" w:hAnsi="仿宋" w:eastAsia="仿宋" w:cs="仿宋"/>
          <w:color w:val="auto"/>
          <w:highlight w:val="none"/>
        </w:rPr>
      </w:pPr>
      <w:r>
        <w:rPr>
          <w:rFonts w:hint="eastAsia" w:ascii="仿宋" w:hAnsi="仿宋" w:eastAsia="仿宋" w:cs="仿宋"/>
          <w:color w:val="auto"/>
          <w:highlight w:val="none"/>
        </w:rPr>
        <w:t>备注： 投标报价采用总承包方式，投标人的报价应包括采购人需求的服务（包含与服务相关的产品）价格、质量保证费用、培训费用及售后服务费用，项目在指定地点、环境交付、安装、调试、验收所需费用和所有相关税金费用及为完成整个项目所产生的其他所有费用。</w:t>
      </w:r>
    </w:p>
    <w:p w14:paraId="5A89D9DA">
      <w:pPr>
        <w:spacing w:line="360" w:lineRule="auto"/>
        <w:jc w:val="center"/>
        <w:rPr>
          <w:rFonts w:ascii="仿宋" w:hAnsi="仿宋" w:eastAsia="仿宋" w:cs="仿宋"/>
          <w:b/>
          <w:color w:val="auto"/>
          <w:sz w:val="32"/>
          <w:szCs w:val="32"/>
          <w:highlight w:val="none"/>
        </w:rPr>
      </w:pPr>
    </w:p>
    <w:p w14:paraId="70B39618">
      <w:pPr>
        <w:pStyle w:val="191"/>
        <w:spacing w:before="0" w:after="100" w:line="360" w:lineRule="auto"/>
        <w:jc w:val="both"/>
        <w:rPr>
          <w:rFonts w:ascii="仿宋" w:hAnsi="仿宋" w:eastAsia="仿宋" w:cs="仿宋"/>
          <w:iCs/>
          <w:color w:val="auto"/>
          <w:sz w:val="32"/>
          <w:szCs w:val="32"/>
          <w:highlight w:val="none"/>
        </w:rPr>
      </w:pPr>
      <w:bookmarkStart w:id="382" w:name="_Toc18326"/>
      <w:r>
        <w:rPr>
          <w:rFonts w:hint="eastAsia" w:ascii="仿宋" w:hAnsi="仿宋" w:eastAsia="仿宋" w:cs="仿宋"/>
          <w:iCs/>
          <w:color w:val="auto"/>
          <w:sz w:val="32"/>
          <w:szCs w:val="32"/>
          <w:highlight w:val="none"/>
        </w:rPr>
        <w:br w:type="page" w:clear="all"/>
      </w:r>
      <w:bookmarkStart w:id="383" w:name="_Toc4589"/>
      <w:bookmarkStart w:id="384" w:name="_Toc18259"/>
      <w:r>
        <w:rPr>
          <w:rFonts w:hint="eastAsia" w:ascii="仿宋" w:hAnsi="仿宋" w:eastAsia="仿宋" w:cs="仿宋"/>
          <w:iCs/>
          <w:color w:val="auto"/>
          <w:sz w:val="32"/>
          <w:szCs w:val="32"/>
          <w:highlight w:val="none"/>
        </w:rPr>
        <w:t>十</w:t>
      </w:r>
      <w:r>
        <w:rPr>
          <w:rFonts w:hint="eastAsia" w:ascii="仿宋" w:hAnsi="仿宋" w:eastAsia="仿宋" w:cs="仿宋"/>
          <w:iCs/>
          <w:color w:val="auto"/>
          <w:sz w:val="32"/>
          <w:szCs w:val="32"/>
          <w:highlight w:val="none"/>
          <w:lang w:val="en-US" w:eastAsia="zh-CN"/>
        </w:rPr>
        <w:t>四</w:t>
      </w:r>
      <w:r>
        <w:rPr>
          <w:rFonts w:hint="eastAsia" w:ascii="仿宋" w:hAnsi="仿宋" w:eastAsia="仿宋" w:cs="仿宋"/>
          <w:iCs/>
          <w:color w:val="auto"/>
          <w:sz w:val="32"/>
          <w:szCs w:val="32"/>
          <w:highlight w:val="none"/>
        </w:rPr>
        <w:t>、项目需求响应及偏离表</w:t>
      </w:r>
      <w:bookmarkEnd w:id="382"/>
      <w:bookmarkEnd w:id="383"/>
      <w:bookmarkEnd w:id="384"/>
    </w:p>
    <w:tbl>
      <w:tblPr>
        <w:tblStyle w:val="33"/>
        <w:tblW w:w="982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9"/>
        <w:gridCol w:w="3119"/>
        <w:gridCol w:w="2115"/>
        <w:gridCol w:w="2216"/>
        <w:gridCol w:w="1642"/>
      </w:tblGrid>
      <w:tr w14:paraId="77F9A5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0" w:hRule="atLeast"/>
        </w:trPr>
        <w:tc>
          <w:tcPr>
            <w:tcW w:w="729" w:type="dxa"/>
            <w:vAlign w:val="center"/>
          </w:tcPr>
          <w:p w14:paraId="054494CD">
            <w:pPr>
              <w:spacing w:line="24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3119" w:type="dxa"/>
            <w:vAlign w:val="center"/>
          </w:tcPr>
          <w:p w14:paraId="5567AD0A">
            <w:pPr>
              <w:spacing w:line="24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招标文件要求</w:t>
            </w:r>
          </w:p>
        </w:tc>
        <w:tc>
          <w:tcPr>
            <w:tcW w:w="2115" w:type="dxa"/>
            <w:vAlign w:val="center"/>
          </w:tcPr>
          <w:p w14:paraId="653F99D9">
            <w:pPr>
              <w:spacing w:line="24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投标响应情况</w:t>
            </w:r>
          </w:p>
        </w:tc>
        <w:tc>
          <w:tcPr>
            <w:tcW w:w="2216" w:type="dxa"/>
            <w:vAlign w:val="center"/>
          </w:tcPr>
          <w:p w14:paraId="498537F6">
            <w:pPr>
              <w:spacing w:line="24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满足、正或负偏离</w:t>
            </w:r>
          </w:p>
        </w:tc>
        <w:tc>
          <w:tcPr>
            <w:tcW w:w="1642" w:type="dxa"/>
            <w:vAlign w:val="center"/>
          </w:tcPr>
          <w:p w14:paraId="2DA7D256">
            <w:pPr>
              <w:spacing w:line="24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证明材料</w:t>
            </w:r>
          </w:p>
        </w:tc>
      </w:tr>
      <w:tr w14:paraId="76C3B8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1" w:hRule="atLeast"/>
        </w:trPr>
        <w:tc>
          <w:tcPr>
            <w:tcW w:w="729" w:type="dxa"/>
          </w:tcPr>
          <w:p w14:paraId="36180AA5">
            <w:pPr>
              <w:spacing w:line="240" w:lineRule="auto"/>
              <w:jc w:val="center"/>
              <w:rPr>
                <w:rFonts w:ascii="仿宋" w:hAnsi="仿宋" w:eastAsia="仿宋" w:cs="仿宋"/>
                <w:color w:val="auto"/>
                <w:sz w:val="24"/>
                <w:szCs w:val="24"/>
                <w:highlight w:val="none"/>
              </w:rPr>
            </w:pPr>
          </w:p>
        </w:tc>
        <w:tc>
          <w:tcPr>
            <w:tcW w:w="3119" w:type="dxa"/>
          </w:tcPr>
          <w:p w14:paraId="2D33065D">
            <w:pPr>
              <w:spacing w:line="240" w:lineRule="auto"/>
              <w:jc w:val="center"/>
              <w:rPr>
                <w:rFonts w:ascii="仿宋" w:hAnsi="仿宋" w:eastAsia="仿宋" w:cs="仿宋"/>
                <w:color w:val="auto"/>
                <w:sz w:val="24"/>
                <w:szCs w:val="24"/>
                <w:highlight w:val="none"/>
              </w:rPr>
            </w:pPr>
          </w:p>
        </w:tc>
        <w:tc>
          <w:tcPr>
            <w:tcW w:w="2115" w:type="dxa"/>
          </w:tcPr>
          <w:p w14:paraId="4B3E59EA">
            <w:pPr>
              <w:spacing w:line="240" w:lineRule="auto"/>
              <w:jc w:val="center"/>
              <w:rPr>
                <w:rFonts w:ascii="仿宋" w:hAnsi="仿宋" w:eastAsia="仿宋" w:cs="仿宋"/>
                <w:color w:val="auto"/>
                <w:sz w:val="24"/>
                <w:szCs w:val="24"/>
                <w:highlight w:val="none"/>
              </w:rPr>
            </w:pPr>
          </w:p>
        </w:tc>
        <w:tc>
          <w:tcPr>
            <w:tcW w:w="2216" w:type="dxa"/>
          </w:tcPr>
          <w:p w14:paraId="332B5015">
            <w:pPr>
              <w:spacing w:line="240" w:lineRule="auto"/>
              <w:jc w:val="center"/>
              <w:rPr>
                <w:rFonts w:ascii="仿宋" w:hAnsi="仿宋" w:eastAsia="仿宋" w:cs="仿宋"/>
                <w:color w:val="auto"/>
                <w:sz w:val="24"/>
                <w:szCs w:val="24"/>
                <w:highlight w:val="none"/>
              </w:rPr>
            </w:pPr>
          </w:p>
        </w:tc>
        <w:tc>
          <w:tcPr>
            <w:tcW w:w="1642" w:type="dxa"/>
          </w:tcPr>
          <w:p w14:paraId="46556E93">
            <w:pPr>
              <w:spacing w:line="240" w:lineRule="auto"/>
              <w:jc w:val="center"/>
              <w:rPr>
                <w:rFonts w:ascii="仿宋" w:hAnsi="仿宋" w:eastAsia="仿宋" w:cs="仿宋"/>
                <w:color w:val="auto"/>
                <w:sz w:val="24"/>
                <w:szCs w:val="24"/>
                <w:highlight w:val="none"/>
              </w:rPr>
            </w:pPr>
          </w:p>
        </w:tc>
      </w:tr>
      <w:tr w14:paraId="0D1924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1" w:hRule="atLeast"/>
        </w:trPr>
        <w:tc>
          <w:tcPr>
            <w:tcW w:w="729" w:type="dxa"/>
          </w:tcPr>
          <w:p w14:paraId="14E80436">
            <w:pPr>
              <w:spacing w:line="240" w:lineRule="auto"/>
              <w:jc w:val="center"/>
              <w:rPr>
                <w:rFonts w:ascii="仿宋" w:hAnsi="仿宋" w:eastAsia="仿宋" w:cs="仿宋"/>
                <w:color w:val="auto"/>
                <w:sz w:val="24"/>
                <w:szCs w:val="24"/>
                <w:highlight w:val="none"/>
              </w:rPr>
            </w:pPr>
          </w:p>
        </w:tc>
        <w:tc>
          <w:tcPr>
            <w:tcW w:w="3119" w:type="dxa"/>
          </w:tcPr>
          <w:p w14:paraId="45D6826A">
            <w:pPr>
              <w:spacing w:line="240" w:lineRule="auto"/>
              <w:jc w:val="center"/>
              <w:rPr>
                <w:rFonts w:ascii="仿宋" w:hAnsi="仿宋" w:eastAsia="仿宋" w:cs="仿宋"/>
                <w:color w:val="auto"/>
                <w:sz w:val="24"/>
                <w:szCs w:val="24"/>
                <w:highlight w:val="none"/>
              </w:rPr>
            </w:pPr>
          </w:p>
        </w:tc>
        <w:tc>
          <w:tcPr>
            <w:tcW w:w="2115" w:type="dxa"/>
          </w:tcPr>
          <w:p w14:paraId="14DA512D">
            <w:pPr>
              <w:spacing w:line="240" w:lineRule="auto"/>
              <w:jc w:val="center"/>
              <w:rPr>
                <w:rFonts w:ascii="仿宋" w:hAnsi="仿宋" w:eastAsia="仿宋" w:cs="仿宋"/>
                <w:color w:val="auto"/>
                <w:sz w:val="24"/>
                <w:szCs w:val="24"/>
                <w:highlight w:val="none"/>
              </w:rPr>
            </w:pPr>
          </w:p>
        </w:tc>
        <w:tc>
          <w:tcPr>
            <w:tcW w:w="2216" w:type="dxa"/>
          </w:tcPr>
          <w:p w14:paraId="6102C19C">
            <w:pPr>
              <w:spacing w:line="240" w:lineRule="auto"/>
              <w:jc w:val="center"/>
              <w:rPr>
                <w:rFonts w:ascii="仿宋" w:hAnsi="仿宋" w:eastAsia="仿宋" w:cs="仿宋"/>
                <w:color w:val="auto"/>
                <w:sz w:val="24"/>
                <w:szCs w:val="24"/>
                <w:highlight w:val="none"/>
              </w:rPr>
            </w:pPr>
          </w:p>
        </w:tc>
        <w:tc>
          <w:tcPr>
            <w:tcW w:w="1642" w:type="dxa"/>
          </w:tcPr>
          <w:p w14:paraId="72BDB296">
            <w:pPr>
              <w:spacing w:line="240" w:lineRule="auto"/>
              <w:jc w:val="center"/>
              <w:rPr>
                <w:rFonts w:ascii="仿宋" w:hAnsi="仿宋" w:eastAsia="仿宋" w:cs="仿宋"/>
                <w:color w:val="auto"/>
                <w:sz w:val="24"/>
                <w:szCs w:val="24"/>
                <w:highlight w:val="none"/>
              </w:rPr>
            </w:pPr>
          </w:p>
        </w:tc>
      </w:tr>
      <w:tr w14:paraId="1B8158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1" w:hRule="atLeast"/>
        </w:trPr>
        <w:tc>
          <w:tcPr>
            <w:tcW w:w="729" w:type="dxa"/>
          </w:tcPr>
          <w:p w14:paraId="43A2B27A">
            <w:pPr>
              <w:spacing w:line="240" w:lineRule="auto"/>
              <w:jc w:val="center"/>
              <w:rPr>
                <w:rFonts w:ascii="仿宋" w:hAnsi="仿宋" w:eastAsia="仿宋" w:cs="仿宋"/>
                <w:color w:val="auto"/>
                <w:sz w:val="24"/>
                <w:szCs w:val="24"/>
                <w:highlight w:val="none"/>
              </w:rPr>
            </w:pPr>
          </w:p>
        </w:tc>
        <w:tc>
          <w:tcPr>
            <w:tcW w:w="3119" w:type="dxa"/>
          </w:tcPr>
          <w:p w14:paraId="399FABA3">
            <w:pPr>
              <w:spacing w:line="240" w:lineRule="auto"/>
              <w:jc w:val="center"/>
              <w:rPr>
                <w:rFonts w:ascii="仿宋" w:hAnsi="仿宋" w:eastAsia="仿宋" w:cs="仿宋"/>
                <w:color w:val="auto"/>
                <w:sz w:val="24"/>
                <w:szCs w:val="24"/>
                <w:highlight w:val="none"/>
              </w:rPr>
            </w:pPr>
          </w:p>
        </w:tc>
        <w:tc>
          <w:tcPr>
            <w:tcW w:w="2115" w:type="dxa"/>
          </w:tcPr>
          <w:p w14:paraId="21E47D83">
            <w:pPr>
              <w:spacing w:line="240" w:lineRule="auto"/>
              <w:jc w:val="center"/>
              <w:rPr>
                <w:rFonts w:ascii="仿宋" w:hAnsi="仿宋" w:eastAsia="仿宋" w:cs="仿宋"/>
                <w:color w:val="auto"/>
                <w:sz w:val="24"/>
                <w:szCs w:val="24"/>
                <w:highlight w:val="none"/>
              </w:rPr>
            </w:pPr>
          </w:p>
        </w:tc>
        <w:tc>
          <w:tcPr>
            <w:tcW w:w="2216" w:type="dxa"/>
          </w:tcPr>
          <w:p w14:paraId="1DC88CB0">
            <w:pPr>
              <w:spacing w:line="240" w:lineRule="auto"/>
              <w:jc w:val="center"/>
              <w:rPr>
                <w:rFonts w:ascii="仿宋" w:hAnsi="仿宋" w:eastAsia="仿宋" w:cs="仿宋"/>
                <w:color w:val="auto"/>
                <w:sz w:val="24"/>
                <w:szCs w:val="24"/>
                <w:highlight w:val="none"/>
              </w:rPr>
            </w:pPr>
          </w:p>
        </w:tc>
        <w:tc>
          <w:tcPr>
            <w:tcW w:w="1642" w:type="dxa"/>
          </w:tcPr>
          <w:p w14:paraId="7C288BAA">
            <w:pPr>
              <w:spacing w:line="240" w:lineRule="auto"/>
              <w:jc w:val="center"/>
              <w:rPr>
                <w:rFonts w:ascii="仿宋" w:hAnsi="仿宋" w:eastAsia="仿宋" w:cs="仿宋"/>
                <w:color w:val="auto"/>
                <w:sz w:val="24"/>
                <w:szCs w:val="24"/>
                <w:highlight w:val="none"/>
              </w:rPr>
            </w:pPr>
          </w:p>
        </w:tc>
      </w:tr>
      <w:tr w14:paraId="1C874E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1" w:hRule="atLeast"/>
        </w:trPr>
        <w:tc>
          <w:tcPr>
            <w:tcW w:w="729" w:type="dxa"/>
          </w:tcPr>
          <w:p w14:paraId="55E3C207">
            <w:pPr>
              <w:spacing w:line="240" w:lineRule="auto"/>
              <w:jc w:val="center"/>
              <w:rPr>
                <w:rFonts w:ascii="仿宋" w:hAnsi="仿宋" w:eastAsia="仿宋" w:cs="仿宋"/>
                <w:color w:val="auto"/>
                <w:sz w:val="24"/>
                <w:szCs w:val="24"/>
                <w:highlight w:val="none"/>
              </w:rPr>
            </w:pPr>
          </w:p>
        </w:tc>
        <w:tc>
          <w:tcPr>
            <w:tcW w:w="3119" w:type="dxa"/>
          </w:tcPr>
          <w:p w14:paraId="71625C27">
            <w:pPr>
              <w:spacing w:line="240" w:lineRule="auto"/>
              <w:jc w:val="center"/>
              <w:rPr>
                <w:rFonts w:ascii="仿宋" w:hAnsi="仿宋" w:eastAsia="仿宋" w:cs="仿宋"/>
                <w:color w:val="auto"/>
                <w:sz w:val="24"/>
                <w:szCs w:val="24"/>
                <w:highlight w:val="none"/>
              </w:rPr>
            </w:pPr>
          </w:p>
        </w:tc>
        <w:tc>
          <w:tcPr>
            <w:tcW w:w="2115" w:type="dxa"/>
          </w:tcPr>
          <w:p w14:paraId="16B54AD5">
            <w:pPr>
              <w:spacing w:line="240" w:lineRule="auto"/>
              <w:jc w:val="center"/>
              <w:rPr>
                <w:rFonts w:ascii="仿宋" w:hAnsi="仿宋" w:eastAsia="仿宋" w:cs="仿宋"/>
                <w:color w:val="auto"/>
                <w:sz w:val="24"/>
                <w:szCs w:val="24"/>
                <w:highlight w:val="none"/>
              </w:rPr>
            </w:pPr>
          </w:p>
        </w:tc>
        <w:tc>
          <w:tcPr>
            <w:tcW w:w="2216" w:type="dxa"/>
          </w:tcPr>
          <w:p w14:paraId="236A2881">
            <w:pPr>
              <w:spacing w:line="240" w:lineRule="auto"/>
              <w:jc w:val="center"/>
              <w:rPr>
                <w:rFonts w:ascii="仿宋" w:hAnsi="仿宋" w:eastAsia="仿宋" w:cs="仿宋"/>
                <w:color w:val="auto"/>
                <w:sz w:val="24"/>
                <w:szCs w:val="24"/>
                <w:highlight w:val="none"/>
              </w:rPr>
            </w:pPr>
          </w:p>
        </w:tc>
        <w:tc>
          <w:tcPr>
            <w:tcW w:w="1642" w:type="dxa"/>
          </w:tcPr>
          <w:p w14:paraId="46D9BD2A">
            <w:pPr>
              <w:spacing w:line="240" w:lineRule="auto"/>
              <w:jc w:val="center"/>
              <w:rPr>
                <w:rFonts w:ascii="仿宋" w:hAnsi="仿宋" w:eastAsia="仿宋" w:cs="仿宋"/>
                <w:color w:val="auto"/>
                <w:sz w:val="24"/>
                <w:szCs w:val="24"/>
                <w:highlight w:val="none"/>
              </w:rPr>
            </w:pPr>
          </w:p>
        </w:tc>
      </w:tr>
      <w:tr w14:paraId="09F15C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1" w:hRule="atLeast"/>
        </w:trPr>
        <w:tc>
          <w:tcPr>
            <w:tcW w:w="729" w:type="dxa"/>
          </w:tcPr>
          <w:p w14:paraId="488B52CC">
            <w:pPr>
              <w:spacing w:line="240" w:lineRule="auto"/>
              <w:jc w:val="center"/>
              <w:rPr>
                <w:rFonts w:ascii="仿宋" w:hAnsi="仿宋" w:eastAsia="仿宋" w:cs="仿宋"/>
                <w:color w:val="auto"/>
                <w:sz w:val="24"/>
                <w:szCs w:val="24"/>
                <w:highlight w:val="none"/>
              </w:rPr>
            </w:pPr>
          </w:p>
        </w:tc>
        <w:tc>
          <w:tcPr>
            <w:tcW w:w="3119" w:type="dxa"/>
          </w:tcPr>
          <w:p w14:paraId="01BF8C98">
            <w:pPr>
              <w:spacing w:line="240" w:lineRule="auto"/>
              <w:jc w:val="center"/>
              <w:rPr>
                <w:rFonts w:ascii="仿宋" w:hAnsi="仿宋" w:eastAsia="仿宋" w:cs="仿宋"/>
                <w:color w:val="auto"/>
                <w:sz w:val="24"/>
                <w:szCs w:val="24"/>
                <w:highlight w:val="none"/>
              </w:rPr>
            </w:pPr>
          </w:p>
        </w:tc>
        <w:tc>
          <w:tcPr>
            <w:tcW w:w="2115" w:type="dxa"/>
          </w:tcPr>
          <w:p w14:paraId="3A92C870">
            <w:pPr>
              <w:spacing w:line="240" w:lineRule="auto"/>
              <w:jc w:val="center"/>
              <w:rPr>
                <w:rFonts w:ascii="仿宋" w:hAnsi="仿宋" w:eastAsia="仿宋" w:cs="仿宋"/>
                <w:color w:val="auto"/>
                <w:sz w:val="24"/>
                <w:szCs w:val="24"/>
                <w:highlight w:val="none"/>
              </w:rPr>
            </w:pPr>
          </w:p>
        </w:tc>
        <w:tc>
          <w:tcPr>
            <w:tcW w:w="2216" w:type="dxa"/>
          </w:tcPr>
          <w:p w14:paraId="3512718F">
            <w:pPr>
              <w:spacing w:line="240" w:lineRule="auto"/>
              <w:jc w:val="center"/>
              <w:rPr>
                <w:rFonts w:ascii="仿宋" w:hAnsi="仿宋" w:eastAsia="仿宋" w:cs="仿宋"/>
                <w:color w:val="auto"/>
                <w:sz w:val="24"/>
                <w:szCs w:val="24"/>
                <w:highlight w:val="none"/>
              </w:rPr>
            </w:pPr>
          </w:p>
        </w:tc>
        <w:tc>
          <w:tcPr>
            <w:tcW w:w="1642" w:type="dxa"/>
          </w:tcPr>
          <w:p w14:paraId="61FD24DF">
            <w:pPr>
              <w:spacing w:line="240" w:lineRule="auto"/>
              <w:jc w:val="center"/>
              <w:rPr>
                <w:rFonts w:ascii="仿宋" w:hAnsi="仿宋" w:eastAsia="仿宋" w:cs="仿宋"/>
                <w:color w:val="auto"/>
                <w:sz w:val="24"/>
                <w:szCs w:val="24"/>
                <w:highlight w:val="none"/>
              </w:rPr>
            </w:pPr>
          </w:p>
        </w:tc>
      </w:tr>
      <w:tr w14:paraId="7DC113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397" w:hRule="atLeast"/>
        </w:trPr>
        <w:tc>
          <w:tcPr>
            <w:tcW w:w="729" w:type="dxa"/>
          </w:tcPr>
          <w:p w14:paraId="5A96F3A0">
            <w:pPr>
              <w:spacing w:line="240" w:lineRule="auto"/>
              <w:jc w:val="center"/>
              <w:rPr>
                <w:rFonts w:ascii="仿宋" w:hAnsi="仿宋" w:eastAsia="仿宋" w:cs="仿宋"/>
                <w:color w:val="auto"/>
                <w:sz w:val="24"/>
                <w:szCs w:val="24"/>
                <w:highlight w:val="none"/>
              </w:rPr>
            </w:pPr>
          </w:p>
        </w:tc>
        <w:tc>
          <w:tcPr>
            <w:tcW w:w="3119" w:type="dxa"/>
          </w:tcPr>
          <w:p w14:paraId="30153491">
            <w:pPr>
              <w:spacing w:line="24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2115" w:type="dxa"/>
          </w:tcPr>
          <w:p w14:paraId="723CBF86">
            <w:pPr>
              <w:spacing w:line="240" w:lineRule="auto"/>
              <w:jc w:val="center"/>
              <w:rPr>
                <w:rFonts w:ascii="仿宋" w:hAnsi="仿宋" w:eastAsia="仿宋" w:cs="仿宋"/>
                <w:color w:val="auto"/>
                <w:sz w:val="24"/>
                <w:szCs w:val="24"/>
                <w:highlight w:val="none"/>
              </w:rPr>
            </w:pPr>
          </w:p>
        </w:tc>
        <w:tc>
          <w:tcPr>
            <w:tcW w:w="2216" w:type="dxa"/>
          </w:tcPr>
          <w:p w14:paraId="78BAEED7">
            <w:pPr>
              <w:spacing w:line="240" w:lineRule="auto"/>
              <w:jc w:val="center"/>
              <w:rPr>
                <w:rFonts w:ascii="仿宋" w:hAnsi="仿宋" w:eastAsia="仿宋" w:cs="仿宋"/>
                <w:color w:val="auto"/>
                <w:sz w:val="24"/>
                <w:szCs w:val="24"/>
                <w:highlight w:val="none"/>
              </w:rPr>
            </w:pPr>
          </w:p>
        </w:tc>
        <w:tc>
          <w:tcPr>
            <w:tcW w:w="1642" w:type="dxa"/>
          </w:tcPr>
          <w:p w14:paraId="47BAD755">
            <w:pPr>
              <w:spacing w:line="240" w:lineRule="auto"/>
              <w:jc w:val="center"/>
              <w:rPr>
                <w:rFonts w:ascii="仿宋" w:hAnsi="仿宋" w:eastAsia="仿宋" w:cs="仿宋"/>
                <w:color w:val="auto"/>
                <w:sz w:val="24"/>
                <w:szCs w:val="24"/>
                <w:highlight w:val="none"/>
              </w:rPr>
            </w:pPr>
          </w:p>
        </w:tc>
      </w:tr>
    </w:tbl>
    <w:p w14:paraId="1EB8E7E5">
      <w:pPr>
        <w:spacing w:line="360" w:lineRule="auto"/>
        <w:jc w:val="left"/>
        <w:rPr>
          <w:rFonts w:ascii="仿宋" w:hAnsi="仿宋" w:eastAsia="仿宋" w:cs="仿宋"/>
          <w:b/>
          <w:bCs/>
          <w:color w:val="auto"/>
          <w:sz w:val="22"/>
          <w:szCs w:val="22"/>
          <w:highlight w:val="none"/>
        </w:rPr>
      </w:pPr>
    </w:p>
    <w:p w14:paraId="65680F09">
      <w:pPr>
        <w:spacing w:line="360" w:lineRule="auto"/>
        <w:jc w:val="left"/>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注： 行数不够，可自行添加。请供应商针对招标文件第四章项目需求内容，逐条进行响应。</w:t>
      </w:r>
    </w:p>
    <w:p w14:paraId="72C8F9DC">
      <w:pPr>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投标人全称（加盖公章）：</w:t>
      </w:r>
    </w:p>
    <w:p w14:paraId="1D5FF32E">
      <w:pPr>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法人或授权代表（签字）：</w:t>
      </w:r>
    </w:p>
    <w:p w14:paraId="4737F536">
      <w:pPr>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bookmarkEnd w:id="353"/>
    </w:p>
    <w:p w14:paraId="6AF13F65">
      <w:pPr>
        <w:spacing w:line="360" w:lineRule="auto"/>
        <w:rPr>
          <w:color w:val="auto"/>
          <w:highlight w:val="none"/>
        </w:rPr>
      </w:pPr>
      <w:bookmarkStart w:id="385" w:name="_Hlt26955054"/>
      <w:bookmarkEnd w:id="385"/>
      <w:bookmarkStart w:id="386" w:name="_Toc2858"/>
    </w:p>
    <w:p w14:paraId="222CCC70">
      <w:pPr>
        <w:bidi w:val="0"/>
        <w:spacing w:line="360" w:lineRule="auto"/>
        <w:rPr>
          <w:rFonts w:hint="eastAsia"/>
          <w:color w:val="auto"/>
          <w:highlight w:val="none"/>
        </w:rPr>
      </w:pPr>
    </w:p>
    <w:p w14:paraId="13A7786F">
      <w:pPr>
        <w:pStyle w:val="191"/>
        <w:spacing w:before="0" w:after="100" w:line="360" w:lineRule="auto"/>
        <w:jc w:val="both"/>
        <w:rPr>
          <w:rFonts w:ascii="仿宋" w:hAnsi="仿宋" w:eastAsia="仿宋" w:cs="仿宋"/>
          <w:iCs/>
          <w:color w:val="auto"/>
          <w:sz w:val="32"/>
          <w:szCs w:val="32"/>
          <w:highlight w:val="none"/>
        </w:rPr>
      </w:pPr>
      <w:bookmarkStart w:id="387" w:name="_Toc16672"/>
      <w:bookmarkStart w:id="388" w:name="_Toc13606"/>
      <w:r>
        <w:rPr>
          <w:rFonts w:hint="eastAsia" w:ascii="仿宋" w:hAnsi="仿宋" w:eastAsia="仿宋" w:cs="仿宋"/>
          <w:iCs/>
          <w:color w:val="auto"/>
          <w:sz w:val="32"/>
          <w:szCs w:val="32"/>
          <w:highlight w:val="none"/>
        </w:rPr>
        <w:t>十</w:t>
      </w:r>
      <w:r>
        <w:rPr>
          <w:rFonts w:hint="eastAsia" w:ascii="仿宋" w:hAnsi="仿宋" w:eastAsia="仿宋" w:cs="仿宋"/>
          <w:iCs/>
          <w:color w:val="auto"/>
          <w:sz w:val="32"/>
          <w:szCs w:val="32"/>
          <w:highlight w:val="none"/>
          <w:lang w:val="en-US" w:eastAsia="zh-CN"/>
        </w:rPr>
        <w:t>五</w:t>
      </w:r>
      <w:r>
        <w:rPr>
          <w:rFonts w:hint="eastAsia" w:ascii="仿宋" w:hAnsi="仿宋" w:eastAsia="仿宋" w:cs="仿宋"/>
          <w:iCs/>
          <w:color w:val="auto"/>
          <w:sz w:val="32"/>
          <w:szCs w:val="32"/>
          <w:highlight w:val="none"/>
        </w:rPr>
        <w:t>、商务要求响应及偏离表</w:t>
      </w:r>
      <w:bookmarkEnd w:id="386"/>
      <w:bookmarkEnd w:id="387"/>
      <w:bookmarkEnd w:id="388"/>
    </w:p>
    <w:tbl>
      <w:tblPr>
        <w:tblStyle w:val="3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0"/>
        <w:gridCol w:w="2516"/>
        <w:gridCol w:w="2533"/>
        <w:gridCol w:w="2142"/>
        <w:gridCol w:w="1772"/>
      </w:tblGrid>
      <w:tr w14:paraId="5A0D06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8" w:hRule="atLeast"/>
        </w:trPr>
        <w:tc>
          <w:tcPr>
            <w:tcW w:w="850" w:type="dxa"/>
            <w:vAlign w:val="center"/>
          </w:tcPr>
          <w:p w14:paraId="083339C4">
            <w:pPr>
              <w:spacing w:line="240" w:lineRule="auto"/>
              <w:jc w:val="center"/>
              <w:rPr>
                <w:rFonts w:ascii="仿宋" w:hAnsi="仿宋" w:eastAsia="仿宋" w:cs="仿宋"/>
                <w:color w:val="auto"/>
                <w:sz w:val="24"/>
                <w:szCs w:val="24"/>
                <w:highlight w:val="none"/>
              </w:rPr>
            </w:pPr>
            <w:bookmarkStart w:id="389" w:name="_Hlt26671343"/>
            <w:bookmarkEnd w:id="389"/>
            <w:bookmarkStart w:id="390" w:name="_Hlt26671372"/>
            <w:bookmarkEnd w:id="390"/>
            <w:bookmarkStart w:id="391" w:name="_Hlt26782999"/>
            <w:bookmarkEnd w:id="391"/>
            <w:bookmarkStart w:id="392" w:name="_Hlt26580838"/>
            <w:bookmarkEnd w:id="392"/>
            <w:bookmarkStart w:id="393" w:name="_Hlt26955056"/>
            <w:bookmarkEnd w:id="393"/>
            <w:bookmarkStart w:id="394" w:name="_Hlt26955064"/>
            <w:bookmarkEnd w:id="394"/>
            <w:bookmarkStart w:id="395" w:name="_Hlt26609391"/>
            <w:bookmarkEnd w:id="395"/>
            <w:bookmarkStart w:id="396" w:name="_Hlt24879081"/>
            <w:bookmarkEnd w:id="396"/>
            <w:r>
              <w:rPr>
                <w:rFonts w:hint="eastAsia" w:ascii="仿宋" w:hAnsi="仿宋" w:eastAsia="仿宋" w:cs="仿宋"/>
                <w:color w:val="auto"/>
                <w:sz w:val="24"/>
                <w:szCs w:val="24"/>
                <w:highlight w:val="none"/>
              </w:rPr>
              <w:t>序号</w:t>
            </w:r>
          </w:p>
        </w:tc>
        <w:tc>
          <w:tcPr>
            <w:tcW w:w="2516" w:type="dxa"/>
            <w:vAlign w:val="center"/>
          </w:tcPr>
          <w:p w14:paraId="6477DD6A">
            <w:pPr>
              <w:spacing w:line="24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招标文件要求</w:t>
            </w:r>
          </w:p>
        </w:tc>
        <w:tc>
          <w:tcPr>
            <w:tcW w:w="2533" w:type="dxa"/>
            <w:vAlign w:val="center"/>
          </w:tcPr>
          <w:p w14:paraId="39A11A85">
            <w:pPr>
              <w:spacing w:line="24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投标响应情况</w:t>
            </w:r>
          </w:p>
        </w:tc>
        <w:tc>
          <w:tcPr>
            <w:tcW w:w="2142" w:type="dxa"/>
            <w:vAlign w:val="center"/>
          </w:tcPr>
          <w:p w14:paraId="33D6687A">
            <w:pPr>
              <w:spacing w:line="24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满足、正或负偏离</w:t>
            </w:r>
          </w:p>
        </w:tc>
        <w:tc>
          <w:tcPr>
            <w:tcW w:w="1772" w:type="dxa"/>
            <w:vAlign w:val="center"/>
          </w:tcPr>
          <w:p w14:paraId="58067DE7">
            <w:pPr>
              <w:spacing w:line="24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证明材料</w:t>
            </w:r>
          </w:p>
        </w:tc>
      </w:tr>
      <w:tr w14:paraId="59234C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9" w:hRule="atLeast"/>
        </w:trPr>
        <w:tc>
          <w:tcPr>
            <w:tcW w:w="850" w:type="dxa"/>
          </w:tcPr>
          <w:p w14:paraId="746274DD">
            <w:pPr>
              <w:spacing w:line="240" w:lineRule="auto"/>
              <w:jc w:val="center"/>
              <w:rPr>
                <w:rFonts w:ascii="仿宋" w:hAnsi="仿宋" w:eastAsia="仿宋" w:cs="仿宋"/>
                <w:color w:val="auto"/>
                <w:sz w:val="24"/>
                <w:szCs w:val="24"/>
                <w:highlight w:val="none"/>
              </w:rPr>
            </w:pPr>
          </w:p>
        </w:tc>
        <w:tc>
          <w:tcPr>
            <w:tcW w:w="2516" w:type="dxa"/>
          </w:tcPr>
          <w:p w14:paraId="1D4BD660">
            <w:pPr>
              <w:spacing w:line="240" w:lineRule="auto"/>
              <w:jc w:val="center"/>
              <w:rPr>
                <w:rFonts w:ascii="仿宋" w:hAnsi="仿宋" w:eastAsia="仿宋" w:cs="仿宋"/>
                <w:color w:val="auto"/>
                <w:sz w:val="24"/>
                <w:szCs w:val="24"/>
                <w:highlight w:val="none"/>
              </w:rPr>
            </w:pPr>
          </w:p>
        </w:tc>
        <w:tc>
          <w:tcPr>
            <w:tcW w:w="2533" w:type="dxa"/>
          </w:tcPr>
          <w:p w14:paraId="682B5398">
            <w:pPr>
              <w:spacing w:line="240" w:lineRule="auto"/>
              <w:jc w:val="center"/>
              <w:rPr>
                <w:rFonts w:ascii="仿宋" w:hAnsi="仿宋" w:eastAsia="仿宋" w:cs="仿宋"/>
                <w:color w:val="auto"/>
                <w:sz w:val="24"/>
                <w:szCs w:val="24"/>
                <w:highlight w:val="none"/>
              </w:rPr>
            </w:pPr>
          </w:p>
        </w:tc>
        <w:tc>
          <w:tcPr>
            <w:tcW w:w="2142" w:type="dxa"/>
          </w:tcPr>
          <w:p w14:paraId="123B10CF">
            <w:pPr>
              <w:spacing w:line="240" w:lineRule="auto"/>
              <w:jc w:val="center"/>
              <w:rPr>
                <w:rFonts w:ascii="仿宋" w:hAnsi="仿宋" w:eastAsia="仿宋" w:cs="仿宋"/>
                <w:color w:val="auto"/>
                <w:sz w:val="24"/>
                <w:szCs w:val="24"/>
                <w:highlight w:val="none"/>
              </w:rPr>
            </w:pPr>
          </w:p>
        </w:tc>
        <w:tc>
          <w:tcPr>
            <w:tcW w:w="1772" w:type="dxa"/>
          </w:tcPr>
          <w:p w14:paraId="0255E596">
            <w:pPr>
              <w:spacing w:line="240" w:lineRule="auto"/>
              <w:jc w:val="center"/>
              <w:rPr>
                <w:rFonts w:ascii="仿宋" w:hAnsi="仿宋" w:eastAsia="仿宋" w:cs="仿宋"/>
                <w:color w:val="auto"/>
                <w:sz w:val="24"/>
                <w:szCs w:val="24"/>
                <w:highlight w:val="none"/>
              </w:rPr>
            </w:pPr>
          </w:p>
        </w:tc>
      </w:tr>
      <w:tr w14:paraId="700675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9" w:hRule="atLeast"/>
        </w:trPr>
        <w:tc>
          <w:tcPr>
            <w:tcW w:w="850" w:type="dxa"/>
          </w:tcPr>
          <w:p w14:paraId="26D89700">
            <w:pPr>
              <w:spacing w:line="240" w:lineRule="auto"/>
              <w:jc w:val="center"/>
              <w:rPr>
                <w:rFonts w:ascii="仿宋" w:hAnsi="仿宋" w:eastAsia="仿宋" w:cs="仿宋"/>
                <w:color w:val="auto"/>
                <w:sz w:val="24"/>
                <w:szCs w:val="24"/>
                <w:highlight w:val="none"/>
              </w:rPr>
            </w:pPr>
          </w:p>
        </w:tc>
        <w:tc>
          <w:tcPr>
            <w:tcW w:w="2516" w:type="dxa"/>
          </w:tcPr>
          <w:p w14:paraId="20E21A34">
            <w:pPr>
              <w:spacing w:line="240" w:lineRule="auto"/>
              <w:jc w:val="center"/>
              <w:rPr>
                <w:rFonts w:ascii="仿宋" w:hAnsi="仿宋" w:eastAsia="仿宋" w:cs="仿宋"/>
                <w:color w:val="auto"/>
                <w:sz w:val="24"/>
                <w:szCs w:val="24"/>
                <w:highlight w:val="none"/>
              </w:rPr>
            </w:pPr>
          </w:p>
        </w:tc>
        <w:tc>
          <w:tcPr>
            <w:tcW w:w="2533" w:type="dxa"/>
          </w:tcPr>
          <w:p w14:paraId="4EAF6BA7">
            <w:pPr>
              <w:spacing w:line="240" w:lineRule="auto"/>
              <w:jc w:val="center"/>
              <w:rPr>
                <w:rFonts w:ascii="仿宋" w:hAnsi="仿宋" w:eastAsia="仿宋" w:cs="仿宋"/>
                <w:color w:val="auto"/>
                <w:sz w:val="24"/>
                <w:szCs w:val="24"/>
                <w:highlight w:val="none"/>
              </w:rPr>
            </w:pPr>
          </w:p>
        </w:tc>
        <w:tc>
          <w:tcPr>
            <w:tcW w:w="2142" w:type="dxa"/>
          </w:tcPr>
          <w:p w14:paraId="0CAF58A1">
            <w:pPr>
              <w:spacing w:line="240" w:lineRule="auto"/>
              <w:jc w:val="center"/>
              <w:rPr>
                <w:rFonts w:ascii="仿宋" w:hAnsi="仿宋" w:eastAsia="仿宋" w:cs="仿宋"/>
                <w:color w:val="auto"/>
                <w:sz w:val="24"/>
                <w:szCs w:val="24"/>
                <w:highlight w:val="none"/>
              </w:rPr>
            </w:pPr>
          </w:p>
        </w:tc>
        <w:tc>
          <w:tcPr>
            <w:tcW w:w="1772" w:type="dxa"/>
          </w:tcPr>
          <w:p w14:paraId="12A798A6">
            <w:pPr>
              <w:spacing w:line="240" w:lineRule="auto"/>
              <w:jc w:val="center"/>
              <w:rPr>
                <w:rFonts w:ascii="仿宋" w:hAnsi="仿宋" w:eastAsia="仿宋" w:cs="仿宋"/>
                <w:color w:val="auto"/>
                <w:sz w:val="24"/>
                <w:szCs w:val="24"/>
                <w:highlight w:val="none"/>
              </w:rPr>
            </w:pPr>
          </w:p>
        </w:tc>
      </w:tr>
      <w:tr w14:paraId="2B8B3B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9" w:hRule="atLeast"/>
        </w:trPr>
        <w:tc>
          <w:tcPr>
            <w:tcW w:w="850" w:type="dxa"/>
          </w:tcPr>
          <w:p w14:paraId="1FD961B0">
            <w:pPr>
              <w:spacing w:line="240" w:lineRule="auto"/>
              <w:jc w:val="center"/>
              <w:rPr>
                <w:rFonts w:ascii="仿宋" w:hAnsi="仿宋" w:eastAsia="仿宋" w:cs="仿宋"/>
                <w:color w:val="auto"/>
                <w:sz w:val="24"/>
                <w:szCs w:val="24"/>
                <w:highlight w:val="none"/>
              </w:rPr>
            </w:pPr>
          </w:p>
        </w:tc>
        <w:tc>
          <w:tcPr>
            <w:tcW w:w="2516" w:type="dxa"/>
          </w:tcPr>
          <w:p w14:paraId="67A59A77">
            <w:pPr>
              <w:spacing w:line="240" w:lineRule="auto"/>
              <w:jc w:val="center"/>
              <w:rPr>
                <w:rFonts w:ascii="仿宋" w:hAnsi="仿宋" w:eastAsia="仿宋" w:cs="仿宋"/>
                <w:color w:val="auto"/>
                <w:sz w:val="24"/>
                <w:szCs w:val="24"/>
                <w:highlight w:val="none"/>
              </w:rPr>
            </w:pPr>
          </w:p>
        </w:tc>
        <w:tc>
          <w:tcPr>
            <w:tcW w:w="2533" w:type="dxa"/>
          </w:tcPr>
          <w:p w14:paraId="6D9F82E3">
            <w:pPr>
              <w:spacing w:line="240" w:lineRule="auto"/>
              <w:jc w:val="center"/>
              <w:rPr>
                <w:rFonts w:ascii="仿宋" w:hAnsi="仿宋" w:eastAsia="仿宋" w:cs="仿宋"/>
                <w:color w:val="auto"/>
                <w:sz w:val="24"/>
                <w:szCs w:val="24"/>
                <w:highlight w:val="none"/>
              </w:rPr>
            </w:pPr>
          </w:p>
        </w:tc>
        <w:tc>
          <w:tcPr>
            <w:tcW w:w="2142" w:type="dxa"/>
          </w:tcPr>
          <w:p w14:paraId="328E024E">
            <w:pPr>
              <w:spacing w:line="240" w:lineRule="auto"/>
              <w:jc w:val="center"/>
              <w:rPr>
                <w:rFonts w:ascii="仿宋" w:hAnsi="仿宋" w:eastAsia="仿宋" w:cs="仿宋"/>
                <w:color w:val="auto"/>
                <w:sz w:val="24"/>
                <w:szCs w:val="24"/>
                <w:highlight w:val="none"/>
              </w:rPr>
            </w:pPr>
          </w:p>
        </w:tc>
        <w:tc>
          <w:tcPr>
            <w:tcW w:w="1772" w:type="dxa"/>
          </w:tcPr>
          <w:p w14:paraId="7114F453">
            <w:pPr>
              <w:spacing w:line="240" w:lineRule="auto"/>
              <w:jc w:val="center"/>
              <w:rPr>
                <w:rFonts w:ascii="仿宋" w:hAnsi="仿宋" w:eastAsia="仿宋" w:cs="仿宋"/>
                <w:color w:val="auto"/>
                <w:sz w:val="24"/>
                <w:szCs w:val="24"/>
                <w:highlight w:val="none"/>
              </w:rPr>
            </w:pPr>
          </w:p>
        </w:tc>
      </w:tr>
      <w:tr w14:paraId="35708A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9" w:hRule="atLeast"/>
        </w:trPr>
        <w:tc>
          <w:tcPr>
            <w:tcW w:w="850" w:type="dxa"/>
          </w:tcPr>
          <w:p w14:paraId="10EC41CB">
            <w:pPr>
              <w:spacing w:line="240" w:lineRule="auto"/>
              <w:jc w:val="center"/>
              <w:rPr>
                <w:rFonts w:ascii="仿宋" w:hAnsi="仿宋" w:eastAsia="仿宋" w:cs="仿宋"/>
                <w:color w:val="auto"/>
                <w:sz w:val="24"/>
                <w:szCs w:val="24"/>
                <w:highlight w:val="none"/>
              </w:rPr>
            </w:pPr>
          </w:p>
        </w:tc>
        <w:tc>
          <w:tcPr>
            <w:tcW w:w="2516" w:type="dxa"/>
          </w:tcPr>
          <w:p w14:paraId="370426FF">
            <w:pPr>
              <w:spacing w:line="24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2533" w:type="dxa"/>
          </w:tcPr>
          <w:p w14:paraId="52C7C288">
            <w:pPr>
              <w:spacing w:line="240" w:lineRule="auto"/>
              <w:jc w:val="center"/>
              <w:rPr>
                <w:rFonts w:ascii="仿宋" w:hAnsi="仿宋" w:eastAsia="仿宋" w:cs="仿宋"/>
                <w:color w:val="auto"/>
                <w:sz w:val="24"/>
                <w:szCs w:val="24"/>
                <w:highlight w:val="none"/>
              </w:rPr>
            </w:pPr>
          </w:p>
        </w:tc>
        <w:tc>
          <w:tcPr>
            <w:tcW w:w="2142" w:type="dxa"/>
          </w:tcPr>
          <w:p w14:paraId="349C8405">
            <w:pPr>
              <w:spacing w:line="240" w:lineRule="auto"/>
              <w:jc w:val="center"/>
              <w:rPr>
                <w:rFonts w:ascii="仿宋" w:hAnsi="仿宋" w:eastAsia="仿宋" w:cs="仿宋"/>
                <w:color w:val="auto"/>
                <w:sz w:val="24"/>
                <w:szCs w:val="24"/>
                <w:highlight w:val="none"/>
              </w:rPr>
            </w:pPr>
          </w:p>
        </w:tc>
        <w:tc>
          <w:tcPr>
            <w:tcW w:w="1772" w:type="dxa"/>
          </w:tcPr>
          <w:p w14:paraId="20EB2407">
            <w:pPr>
              <w:spacing w:line="240" w:lineRule="auto"/>
              <w:jc w:val="center"/>
              <w:rPr>
                <w:rFonts w:ascii="仿宋" w:hAnsi="仿宋" w:eastAsia="仿宋" w:cs="仿宋"/>
                <w:color w:val="auto"/>
                <w:sz w:val="24"/>
                <w:szCs w:val="24"/>
                <w:highlight w:val="none"/>
              </w:rPr>
            </w:pPr>
          </w:p>
        </w:tc>
      </w:tr>
    </w:tbl>
    <w:p w14:paraId="1E4F1824">
      <w:pPr>
        <w:spacing w:line="360" w:lineRule="auto"/>
        <w:rPr>
          <w:rFonts w:ascii="仿宋" w:hAnsi="仿宋" w:eastAsia="仿宋" w:cs="仿宋"/>
          <w:b/>
          <w:bCs/>
          <w:color w:val="auto"/>
          <w:sz w:val="22"/>
          <w:szCs w:val="22"/>
          <w:highlight w:val="none"/>
        </w:rPr>
      </w:pPr>
    </w:p>
    <w:p w14:paraId="576FED56">
      <w:pPr>
        <w:spacing w:line="360" w:lineRule="auto"/>
        <w:rPr>
          <w:rFonts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注： 行数不够，可自行添加。请供应商针对招标文件中的商务条款进行响应。</w:t>
      </w:r>
      <w:bookmarkEnd w:id="291"/>
      <w:bookmarkEnd w:id="292"/>
    </w:p>
    <w:p w14:paraId="01A65024">
      <w:pPr>
        <w:spacing w:line="360" w:lineRule="auto"/>
        <w:jc w:val="left"/>
        <w:rPr>
          <w:rFonts w:ascii="仿宋" w:hAnsi="仿宋" w:eastAsia="仿宋" w:cs="仿宋"/>
          <w:color w:val="auto"/>
          <w:sz w:val="24"/>
          <w:szCs w:val="24"/>
          <w:highlight w:val="none"/>
        </w:rPr>
      </w:pPr>
      <w:bookmarkStart w:id="397" w:name="_Hlt26671374"/>
      <w:bookmarkEnd w:id="397"/>
      <w:bookmarkStart w:id="398" w:name="_Hlt26609389"/>
      <w:bookmarkEnd w:id="398"/>
      <w:bookmarkStart w:id="399" w:name="_格式2__法定代表人授权书"/>
      <w:bookmarkEnd w:id="399"/>
      <w:bookmarkStart w:id="400" w:name="_Hlt26955066"/>
      <w:bookmarkEnd w:id="400"/>
      <w:r>
        <w:rPr>
          <w:rFonts w:hint="eastAsia" w:ascii="仿宋" w:hAnsi="仿宋" w:eastAsia="仿宋" w:cs="仿宋"/>
          <w:color w:val="auto"/>
          <w:sz w:val="24"/>
          <w:szCs w:val="24"/>
          <w:highlight w:val="none"/>
        </w:rPr>
        <w:t>投标人全称（加盖公章）：</w:t>
      </w:r>
    </w:p>
    <w:p w14:paraId="2D1B20B6">
      <w:pPr>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法人或授权代表（签字）：</w:t>
      </w:r>
    </w:p>
    <w:p w14:paraId="4787C183">
      <w:pPr>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7CEE23B8">
      <w:pPr>
        <w:pStyle w:val="191"/>
        <w:numPr>
          <w:ilvl w:val="-1"/>
          <w:numId w:val="0"/>
        </w:numPr>
        <w:spacing w:before="0" w:after="100" w:line="360" w:lineRule="auto"/>
        <w:jc w:val="both"/>
        <w:rPr>
          <w:rFonts w:ascii="仿宋" w:hAnsi="仿宋" w:eastAsia="仿宋" w:cs="仿宋"/>
          <w:iCs/>
          <w:color w:val="auto"/>
          <w:sz w:val="32"/>
          <w:szCs w:val="32"/>
          <w:highlight w:val="none"/>
        </w:rPr>
      </w:pPr>
      <w:r>
        <w:rPr>
          <w:rFonts w:hint="eastAsia" w:ascii="仿宋" w:hAnsi="仿宋" w:eastAsia="仿宋" w:cs="仿宋"/>
          <w:iCs/>
          <w:color w:val="auto"/>
          <w:sz w:val="32"/>
          <w:szCs w:val="32"/>
          <w:highlight w:val="none"/>
        </w:rPr>
        <w:br w:type="page" w:clear="all"/>
      </w:r>
      <w:bookmarkStart w:id="401" w:name="_Toc1917"/>
      <w:bookmarkStart w:id="402" w:name="_Toc29812"/>
      <w:r>
        <w:rPr>
          <w:rFonts w:hint="eastAsia" w:ascii="仿宋" w:hAnsi="仿宋" w:eastAsia="仿宋" w:cs="仿宋"/>
          <w:iCs/>
          <w:color w:val="auto"/>
          <w:sz w:val="32"/>
          <w:szCs w:val="32"/>
          <w:highlight w:val="none"/>
          <w:lang w:val="en-US" w:eastAsia="zh-CN"/>
        </w:rPr>
        <w:t>十六、</w:t>
      </w:r>
      <w:r>
        <w:rPr>
          <w:rFonts w:hint="eastAsia" w:ascii="仿宋" w:hAnsi="仿宋" w:eastAsia="仿宋" w:cs="仿宋"/>
          <w:iCs/>
          <w:color w:val="auto"/>
          <w:sz w:val="32"/>
          <w:szCs w:val="32"/>
          <w:highlight w:val="none"/>
        </w:rPr>
        <w:t>技术部分</w:t>
      </w:r>
      <w:bookmarkEnd w:id="401"/>
      <w:bookmarkEnd w:id="402"/>
    </w:p>
    <w:p w14:paraId="0B92B239">
      <w:pPr>
        <w:pStyle w:val="242"/>
        <w:spacing w:line="360" w:lineRule="auto"/>
        <w:ind w:left="0"/>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详见评分办法技术部分（示例略）</w:t>
      </w:r>
    </w:p>
    <w:p w14:paraId="3B9466F6">
      <w:pPr>
        <w:spacing w:line="360" w:lineRule="auto"/>
        <w:rPr>
          <w:color w:val="auto"/>
          <w:highlight w:val="none"/>
        </w:rPr>
      </w:pPr>
    </w:p>
    <w:p w14:paraId="47F34A06">
      <w:pPr>
        <w:spacing w:line="360" w:lineRule="auto"/>
        <w:rPr>
          <w:rFonts w:hint="eastAsia" w:ascii="仿宋" w:hAnsi="仿宋" w:eastAsia="仿宋" w:cs="仿宋"/>
          <w:iCs/>
          <w:color w:val="auto"/>
          <w:sz w:val="32"/>
          <w:szCs w:val="32"/>
          <w:highlight w:val="none"/>
        </w:rPr>
      </w:pPr>
    </w:p>
    <w:p w14:paraId="5A3DB7A6">
      <w:pPr>
        <w:spacing w:line="360" w:lineRule="auto"/>
        <w:rPr>
          <w:rFonts w:hint="eastAsia" w:ascii="仿宋" w:hAnsi="仿宋" w:eastAsia="仿宋" w:cs="仿宋"/>
          <w:iCs/>
          <w:color w:val="auto"/>
          <w:sz w:val="32"/>
          <w:szCs w:val="32"/>
          <w:highlight w:val="none"/>
        </w:rPr>
      </w:pPr>
    </w:p>
    <w:p w14:paraId="3070C327">
      <w:pPr>
        <w:spacing w:line="360" w:lineRule="auto"/>
        <w:rPr>
          <w:rFonts w:ascii="仿宋" w:hAnsi="仿宋" w:eastAsia="仿宋" w:cs="仿宋"/>
          <w:iCs/>
          <w:color w:val="auto"/>
          <w:sz w:val="32"/>
          <w:szCs w:val="32"/>
          <w:highlight w:val="none"/>
        </w:rPr>
      </w:pPr>
    </w:p>
    <w:p w14:paraId="2F6DDF40">
      <w:pPr>
        <w:spacing w:line="360" w:lineRule="auto"/>
        <w:rPr>
          <w:rFonts w:ascii="仿宋" w:hAnsi="仿宋" w:eastAsia="仿宋" w:cs="仿宋"/>
          <w:iCs/>
          <w:color w:val="auto"/>
          <w:sz w:val="32"/>
          <w:szCs w:val="32"/>
          <w:highlight w:val="none"/>
        </w:rPr>
      </w:pPr>
    </w:p>
    <w:p w14:paraId="3CF7FDA5">
      <w:pPr>
        <w:pStyle w:val="191"/>
        <w:spacing w:before="0" w:after="100" w:line="360" w:lineRule="auto"/>
        <w:jc w:val="both"/>
        <w:rPr>
          <w:rFonts w:ascii="仿宋" w:hAnsi="仿宋" w:eastAsia="仿宋" w:cs="仿宋"/>
          <w:iCs/>
          <w:color w:val="auto"/>
          <w:sz w:val="32"/>
          <w:szCs w:val="32"/>
          <w:highlight w:val="none"/>
        </w:rPr>
      </w:pPr>
      <w:bookmarkStart w:id="403" w:name="_Toc568"/>
      <w:bookmarkStart w:id="404" w:name="_Toc3036"/>
      <w:r>
        <w:rPr>
          <w:rFonts w:hint="eastAsia" w:ascii="仿宋" w:hAnsi="仿宋" w:eastAsia="仿宋" w:cs="仿宋"/>
          <w:iCs/>
          <w:color w:val="auto"/>
          <w:sz w:val="32"/>
          <w:szCs w:val="32"/>
          <w:highlight w:val="none"/>
          <w:lang w:val="en-US" w:eastAsia="zh-CN"/>
        </w:rPr>
        <w:t>十七、</w:t>
      </w:r>
      <w:r>
        <w:rPr>
          <w:rFonts w:hint="eastAsia" w:ascii="仿宋" w:hAnsi="仿宋" w:eastAsia="仿宋" w:cs="仿宋"/>
          <w:iCs/>
          <w:color w:val="auto"/>
          <w:sz w:val="32"/>
          <w:szCs w:val="32"/>
          <w:highlight w:val="none"/>
        </w:rPr>
        <w:t>其他证明文件</w:t>
      </w:r>
      <w:bookmarkEnd w:id="403"/>
      <w:bookmarkEnd w:id="404"/>
    </w:p>
    <w:p w14:paraId="49CA7852">
      <w:pPr>
        <w:spacing w:line="360" w:lineRule="auto"/>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1、</w:t>
      </w:r>
      <w:r>
        <w:rPr>
          <w:rFonts w:hint="eastAsia" w:ascii="仿宋" w:hAnsi="仿宋" w:eastAsia="仿宋" w:cs="仿宋"/>
          <w:b/>
          <w:bCs/>
          <w:color w:val="auto"/>
          <w:sz w:val="24"/>
          <w:szCs w:val="24"/>
          <w:highlight w:val="none"/>
        </w:rPr>
        <w:t>请按照招标文件要求进行响应，如业绩、人员配置等</w:t>
      </w:r>
    </w:p>
    <w:p w14:paraId="3EE188EC">
      <w:pPr>
        <w:spacing w:line="360" w:lineRule="auto"/>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人员配备一览表（参考格式）</w:t>
      </w:r>
    </w:p>
    <w:tbl>
      <w:tblPr>
        <w:tblStyle w:val="33"/>
        <w:tblpPr w:leftFromText="180" w:rightFromText="180" w:vertAnchor="text" w:horzAnchor="margin" w:tblpY="21"/>
        <w:tblW w:w="957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3"/>
        <w:gridCol w:w="989"/>
        <w:gridCol w:w="2908"/>
        <w:gridCol w:w="1438"/>
        <w:gridCol w:w="934"/>
        <w:gridCol w:w="2405"/>
      </w:tblGrid>
      <w:tr w14:paraId="3E4AD9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6" w:hRule="atLeast"/>
        </w:trPr>
        <w:tc>
          <w:tcPr>
            <w:tcW w:w="903" w:type="dxa"/>
            <w:vAlign w:val="center"/>
          </w:tcPr>
          <w:p w14:paraId="2E296CC9">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989" w:type="dxa"/>
            <w:vAlign w:val="center"/>
          </w:tcPr>
          <w:p w14:paraId="42BA6B73">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姓名</w:t>
            </w:r>
          </w:p>
        </w:tc>
        <w:tc>
          <w:tcPr>
            <w:tcW w:w="2908" w:type="dxa"/>
            <w:vAlign w:val="center"/>
          </w:tcPr>
          <w:p w14:paraId="0F33A065">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在本项目中担任的职务</w:t>
            </w:r>
          </w:p>
        </w:tc>
        <w:tc>
          <w:tcPr>
            <w:tcW w:w="1438" w:type="dxa"/>
            <w:vAlign w:val="center"/>
          </w:tcPr>
          <w:p w14:paraId="4EC4EB69">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岗位职称</w:t>
            </w:r>
          </w:p>
        </w:tc>
        <w:tc>
          <w:tcPr>
            <w:tcW w:w="934" w:type="dxa"/>
            <w:vAlign w:val="center"/>
          </w:tcPr>
          <w:p w14:paraId="7AFD09E3">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年龄</w:t>
            </w:r>
          </w:p>
        </w:tc>
        <w:tc>
          <w:tcPr>
            <w:tcW w:w="2405" w:type="dxa"/>
            <w:vAlign w:val="center"/>
          </w:tcPr>
          <w:p w14:paraId="7C714A89">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主要资历、经验</w:t>
            </w:r>
          </w:p>
        </w:tc>
      </w:tr>
      <w:tr w14:paraId="0DFFFA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18" w:hRule="atLeast"/>
        </w:trPr>
        <w:tc>
          <w:tcPr>
            <w:tcW w:w="903" w:type="dxa"/>
            <w:vAlign w:val="center"/>
          </w:tcPr>
          <w:p w14:paraId="371084A7">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989" w:type="dxa"/>
            <w:vAlign w:val="center"/>
          </w:tcPr>
          <w:p w14:paraId="154F0437">
            <w:pPr>
              <w:spacing w:line="360" w:lineRule="auto"/>
              <w:rPr>
                <w:rFonts w:ascii="仿宋" w:hAnsi="仿宋" w:eastAsia="仿宋" w:cs="仿宋"/>
                <w:color w:val="auto"/>
                <w:sz w:val="24"/>
                <w:szCs w:val="24"/>
                <w:highlight w:val="none"/>
              </w:rPr>
            </w:pPr>
          </w:p>
        </w:tc>
        <w:tc>
          <w:tcPr>
            <w:tcW w:w="2908" w:type="dxa"/>
            <w:vAlign w:val="center"/>
          </w:tcPr>
          <w:p w14:paraId="2F463634">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项目负责人</w:t>
            </w:r>
          </w:p>
        </w:tc>
        <w:tc>
          <w:tcPr>
            <w:tcW w:w="1438" w:type="dxa"/>
            <w:vAlign w:val="center"/>
          </w:tcPr>
          <w:p w14:paraId="09C0289C">
            <w:pPr>
              <w:spacing w:line="360" w:lineRule="auto"/>
              <w:rPr>
                <w:rFonts w:ascii="仿宋" w:hAnsi="仿宋" w:eastAsia="仿宋" w:cs="仿宋"/>
                <w:color w:val="auto"/>
                <w:sz w:val="24"/>
                <w:szCs w:val="24"/>
                <w:highlight w:val="none"/>
              </w:rPr>
            </w:pPr>
          </w:p>
        </w:tc>
        <w:tc>
          <w:tcPr>
            <w:tcW w:w="934" w:type="dxa"/>
          </w:tcPr>
          <w:p w14:paraId="00B8E71C">
            <w:pPr>
              <w:spacing w:line="360" w:lineRule="auto"/>
              <w:rPr>
                <w:rFonts w:ascii="仿宋" w:hAnsi="仿宋" w:eastAsia="仿宋" w:cs="仿宋"/>
                <w:color w:val="auto"/>
                <w:sz w:val="24"/>
                <w:szCs w:val="24"/>
                <w:highlight w:val="none"/>
              </w:rPr>
            </w:pPr>
          </w:p>
        </w:tc>
        <w:tc>
          <w:tcPr>
            <w:tcW w:w="2405" w:type="dxa"/>
            <w:vAlign w:val="center"/>
          </w:tcPr>
          <w:p w14:paraId="602306AE">
            <w:pPr>
              <w:spacing w:line="360" w:lineRule="auto"/>
              <w:rPr>
                <w:rFonts w:ascii="仿宋" w:hAnsi="仿宋" w:eastAsia="仿宋" w:cs="仿宋"/>
                <w:color w:val="auto"/>
                <w:sz w:val="24"/>
                <w:szCs w:val="24"/>
                <w:highlight w:val="none"/>
              </w:rPr>
            </w:pPr>
          </w:p>
        </w:tc>
      </w:tr>
      <w:tr w14:paraId="0AEA94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18" w:hRule="atLeast"/>
        </w:trPr>
        <w:tc>
          <w:tcPr>
            <w:tcW w:w="903" w:type="dxa"/>
            <w:vAlign w:val="center"/>
          </w:tcPr>
          <w:p w14:paraId="7A2877BC">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989" w:type="dxa"/>
            <w:vAlign w:val="center"/>
          </w:tcPr>
          <w:p w14:paraId="5FA83F9B">
            <w:pPr>
              <w:spacing w:line="360" w:lineRule="auto"/>
              <w:rPr>
                <w:rFonts w:ascii="仿宋" w:hAnsi="仿宋" w:eastAsia="仿宋" w:cs="仿宋"/>
                <w:color w:val="auto"/>
                <w:sz w:val="24"/>
                <w:szCs w:val="24"/>
                <w:highlight w:val="none"/>
              </w:rPr>
            </w:pPr>
          </w:p>
        </w:tc>
        <w:tc>
          <w:tcPr>
            <w:tcW w:w="2908" w:type="dxa"/>
            <w:vAlign w:val="center"/>
          </w:tcPr>
          <w:p w14:paraId="4580E31A">
            <w:pPr>
              <w:spacing w:line="360" w:lineRule="auto"/>
              <w:rPr>
                <w:rFonts w:ascii="仿宋" w:hAnsi="仿宋" w:eastAsia="仿宋" w:cs="仿宋"/>
                <w:color w:val="auto"/>
                <w:sz w:val="24"/>
                <w:szCs w:val="24"/>
                <w:highlight w:val="none"/>
              </w:rPr>
            </w:pPr>
          </w:p>
        </w:tc>
        <w:tc>
          <w:tcPr>
            <w:tcW w:w="1438" w:type="dxa"/>
            <w:vAlign w:val="center"/>
          </w:tcPr>
          <w:p w14:paraId="33ECB8FF">
            <w:pPr>
              <w:spacing w:line="360" w:lineRule="auto"/>
              <w:rPr>
                <w:rFonts w:ascii="仿宋" w:hAnsi="仿宋" w:eastAsia="仿宋" w:cs="仿宋"/>
                <w:color w:val="auto"/>
                <w:sz w:val="24"/>
                <w:szCs w:val="24"/>
                <w:highlight w:val="none"/>
              </w:rPr>
            </w:pPr>
          </w:p>
        </w:tc>
        <w:tc>
          <w:tcPr>
            <w:tcW w:w="934" w:type="dxa"/>
          </w:tcPr>
          <w:p w14:paraId="0574FE20">
            <w:pPr>
              <w:spacing w:line="360" w:lineRule="auto"/>
              <w:rPr>
                <w:rFonts w:ascii="仿宋" w:hAnsi="仿宋" w:eastAsia="仿宋" w:cs="仿宋"/>
                <w:color w:val="auto"/>
                <w:sz w:val="24"/>
                <w:szCs w:val="24"/>
                <w:highlight w:val="none"/>
              </w:rPr>
            </w:pPr>
          </w:p>
        </w:tc>
        <w:tc>
          <w:tcPr>
            <w:tcW w:w="2405" w:type="dxa"/>
            <w:vAlign w:val="center"/>
          </w:tcPr>
          <w:p w14:paraId="71B390C3">
            <w:pPr>
              <w:spacing w:line="360" w:lineRule="auto"/>
              <w:rPr>
                <w:rFonts w:ascii="仿宋" w:hAnsi="仿宋" w:eastAsia="仿宋" w:cs="仿宋"/>
                <w:color w:val="auto"/>
                <w:sz w:val="24"/>
                <w:szCs w:val="24"/>
                <w:highlight w:val="none"/>
              </w:rPr>
            </w:pPr>
          </w:p>
        </w:tc>
      </w:tr>
      <w:tr w14:paraId="09CF93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18" w:hRule="atLeast"/>
        </w:trPr>
        <w:tc>
          <w:tcPr>
            <w:tcW w:w="903" w:type="dxa"/>
            <w:vAlign w:val="center"/>
          </w:tcPr>
          <w:p w14:paraId="543F9F05">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989" w:type="dxa"/>
            <w:vAlign w:val="center"/>
          </w:tcPr>
          <w:p w14:paraId="7EEEAF60">
            <w:pPr>
              <w:spacing w:line="360" w:lineRule="auto"/>
              <w:rPr>
                <w:rFonts w:ascii="仿宋" w:hAnsi="仿宋" w:eastAsia="仿宋" w:cs="仿宋"/>
                <w:color w:val="auto"/>
                <w:sz w:val="24"/>
                <w:szCs w:val="24"/>
                <w:highlight w:val="none"/>
              </w:rPr>
            </w:pPr>
          </w:p>
        </w:tc>
        <w:tc>
          <w:tcPr>
            <w:tcW w:w="2908" w:type="dxa"/>
            <w:vAlign w:val="center"/>
          </w:tcPr>
          <w:p w14:paraId="7A7C8E60">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1438" w:type="dxa"/>
            <w:vAlign w:val="center"/>
          </w:tcPr>
          <w:p w14:paraId="1B77C841">
            <w:pPr>
              <w:spacing w:line="360" w:lineRule="auto"/>
              <w:rPr>
                <w:rFonts w:ascii="仿宋" w:hAnsi="仿宋" w:eastAsia="仿宋" w:cs="仿宋"/>
                <w:color w:val="auto"/>
                <w:sz w:val="24"/>
                <w:szCs w:val="24"/>
                <w:highlight w:val="none"/>
              </w:rPr>
            </w:pPr>
          </w:p>
        </w:tc>
        <w:tc>
          <w:tcPr>
            <w:tcW w:w="934" w:type="dxa"/>
          </w:tcPr>
          <w:p w14:paraId="5A703BAB">
            <w:pPr>
              <w:spacing w:line="360" w:lineRule="auto"/>
              <w:rPr>
                <w:rFonts w:ascii="仿宋" w:hAnsi="仿宋" w:eastAsia="仿宋" w:cs="仿宋"/>
                <w:color w:val="auto"/>
                <w:sz w:val="24"/>
                <w:szCs w:val="24"/>
                <w:highlight w:val="none"/>
              </w:rPr>
            </w:pPr>
          </w:p>
        </w:tc>
        <w:tc>
          <w:tcPr>
            <w:tcW w:w="2405" w:type="dxa"/>
            <w:vAlign w:val="center"/>
          </w:tcPr>
          <w:p w14:paraId="0575DEB8">
            <w:pPr>
              <w:spacing w:line="360" w:lineRule="auto"/>
              <w:rPr>
                <w:rFonts w:ascii="仿宋" w:hAnsi="仿宋" w:eastAsia="仿宋" w:cs="仿宋"/>
                <w:color w:val="auto"/>
                <w:sz w:val="24"/>
                <w:szCs w:val="24"/>
                <w:highlight w:val="none"/>
              </w:rPr>
            </w:pPr>
          </w:p>
        </w:tc>
      </w:tr>
    </w:tbl>
    <w:p w14:paraId="1A9BBCE2">
      <w:pPr>
        <w:spacing w:line="360" w:lineRule="auto"/>
        <w:rPr>
          <w:rFonts w:ascii="仿宋" w:hAnsi="仿宋" w:eastAsia="仿宋" w:cs="仿宋"/>
          <w:color w:val="auto"/>
          <w:highlight w:val="none"/>
        </w:rPr>
      </w:pPr>
      <w:r>
        <w:rPr>
          <w:rFonts w:hint="eastAsia" w:ascii="仿宋" w:hAnsi="仿宋" w:eastAsia="仿宋" w:cs="仿宋"/>
          <w:color w:val="auto"/>
          <w:highlight w:val="none"/>
        </w:rPr>
        <w:t>注：此表为表样，行数可自行添加，但表式不变。</w:t>
      </w:r>
    </w:p>
    <w:p w14:paraId="0B588934">
      <w:pPr>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投标人全称（加盖公章）：</w:t>
      </w:r>
    </w:p>
    <w:p w14:paraId="4E12F580">
      <w:pPr>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法人或授权代表（签字）：</w:t>
      </w:r>
    </w:p>
    <w:p w14:paraId="3890C126">
      <w:pPr>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20153BC2">
      <w:pPr>
        <w:tabs>
          <w:tab w:val="left" w:pos="312"/>
        </w:tabs>
        <w:spacing w:line="360" w:lineRule="auto"/>
        <w:rPr>
          <w:rFonts w:ascii="宋体" w:hAnsi="宋体"/>
          <w:color w:val="auto"/>
          <w:highlight w:val="none"/>
        </w:rPr>
      </w:pPr>
    </w:p>
    <w:p w14:paraId="2DBFC2FB">
      <w:pPr>
        <w:spacing w:line="360" w:lineRule="auto"/>
        <w:rPr>
          <w:rFonts w:ascii="宋体" w:hAnsi="宋体"/>
          <w:color w:val="auto"/>
          <w:highlight w:val="none"/>
        </w:rPr>
      </w:pPr>
    </w:p>
    <w:p w14:paraId="62663D93">
      <w:pPr>
        <w:spacing w:line="360" w:lineRule="auto"/>
        <w:rPr>
          <w:rFonts w:ascii="宋体" w:hAnsi="宋体"/>
          <w:color w:val="auto"/>
          <w:highlight w:val="none"/>
        </w:rPr>
      </w:pPr>
    </w:p>
    <w:p w14:paraId="6AB1B243">
      <w:pPr>
        <w:spacing w:line="360" w:lineRule="auto"/>
        <w:rPr>
          <w:rFonts w:ascii="宋体" w:hAnsi="宋体"/>
          <w:color w:val="auto"/>
          <w:highlight w:val="none"/>
        </w:rPr>
      </w:pPr>
    </w:p>
    <w:p w14:paraId="200A7FB7">
      <w:pPr>
        <w:spacing w:line="360" w:lineRule="auto"/>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经营业绩（参考格式）</w:t>
      </w:r>
    </w:p>
    <w:tbl>
      <w:tblPr>
        <w:tblStyle w:val="33"/>
        <w:tblW w:w="9619" w:type="dxa"/>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4"/>
        <w:gridCol w:w="1876"/>
        <w:gridCol w:w="1695"/>
        <w:gridCol w:w="1275"/>
        <w:gridCol w:w="1418"/>
        <w:gridCol w:w="2551"/>
      </w:tblGrid>
      <w:tr w14:paraId="0C80C3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1" w:hRule="atLeast"/>
        </w:trPr>
        <w:tc>
          <w:tcPr>
            <w:tcW w:w="804" w:type="dxa"/>
            <w:vAlign w:val="center"/>
          </w:tcPr>
          <w:p w14:paraId="60522B1B">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1876" w:type="dxa"/>
            <w:vAlign w:val="center"/>
          </w:tcPr>
          <w:p w14:paraId="4A021862">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p>
        </w:tc>
        <w:tc>
          <w:tcPr>
            <w:tcW w:w="1695" w:type="dxa"/>
            <w:vAlign w:val="center"/>
          </w:tcPr>
          <w:p w14:paraId="708AC0B4">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采购单位</w:t>
            </w:r>
          </w:p>
        </w:tc>
        <w:tc>
          <w:tcPr>
            <w:tcW w:w="1275" w:type="dxa"/>
            <w:vAlign w:val="center"/>
          </w:tcPr>
          <w:p w14:paraId="6D685C54">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签订时间</w:t>
            </w:r>
          </w:p>
        </w:tc>
        <w:tc>
          <w:tcPr>
            <w:tcW w:w="1418" w:type="dxa"/>
            <w:vAlign w:val="center"/>
          </w:tcPr>
          <w:p w14:paraId="4CDF7109">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合同金额</w:t>
            </w:r>
          </w:p>
          <w:p w14:paraId="0CAE6077">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（万元）</w:t>
            </w:r>
          </w:p>
        </w:tc>
        <w:tc>
          <w:tcPr>
            <w:tcW w:w="2551" w:type="dxa"/>
            <w:vAlign w:val="center"/>
          </w:tcPr>
          <w:p w14:paraId="17BED0B8">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证明材料</w:t>
            </w:r>
          </w:p>
          <w:p w14:paraId="190DE49D">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（第几页—第几页）</w:t>
            </w:r>
          </w:p>
        </w:tc>
      </w:tr>
      <w:tr w14:paraId="122074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0" w:hRule="atLeast"/>
        </w:trPr>
        <w:tc>
          <w:tcPr>
            <w:tcW w:w="804" w:type="dxa"/>
            <w:vAlign w:val="center"/>
          </w:tcPr>
          <w:p w14:paraId="5447583D">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876" w:type="dxa"/>
            <w:vAlign w:val="center"/>
          </w:tcPr>
          <w:p w14:paraId="45D7274C">
            <w:pPr>
              <w:spacing w:line="360" w:lineRule="auto"/>
              <w:rPr>
                <w:rFonts w:ascii="仿宋" w:hAnsi="仿宋" w:eastAsia="仿宋" w:cs="仿宋"/>
                <w:color w:val="auto"/>
                <w:sz w:val="24"/>
                <w:szCs w:val="24"/>
                <w:highlight w:val="none"/>
              </w:rPr>
            </w:pPr>
          </w:p>
        </w:tc>
        <w:tc>
          <w:tcPr>
            <w:tcW w:w="1695" w:type="dxa"/>
            <w:vAlign w:val="center"/>
          </w:tcPr>
          <w:p w14:paraId="5582FED5">
            <w:pPr>
              <w:spacing w:line="360" w:lineRule="auto"/>
              <w:rPr>
                <w:rFonts w:ascii="仿宋" w:hAnsi="仿宋" w:eastAsia="仿宋" w:cs="仿宋"/>
                <w:color w:val="auto"/>
                <w:sz w:val="24"/>
                <w:szCs w:val="24"/>
                <w:highlight w:val="none"/>
              </w:rPr>
            </w:pPr>
          </w:p>
        </w:tc>
        <w:tc>
          <w:tcPr>
            <w:tcW w:w="1275" w:type="dxa"/>
          </w:tcPr>
          <w:p w14:paraId="4A5F5B98">
            <w:pPr>
              <w:spacing w:line="360" w:lineRule="auto"/>
              <w:rPr>
                <w:rFonts w:ascii="仿宋" w:hAnsi="仿宋" w:eastAsia="仿宋" w:cs="仿宋"/>
                <w:color w:val="auto"/>
                <w:sz w:val="24"/>
                <w:szCs w:val="24"/>
                <w:highlight w:val="none"/>
              </w:rPr>
            </w:pPr>
          </w:p>
        </w:tc>
        <w:tc>
          <w:tcPr>
            <w:tcW w:w="1418" w:type="dxa"/>
            <w:vAlign w:val="center"/>
          </w:tcPr>
          <w:p w14:paraId="6F47B829">
            <w:pPr>
              <w:spacing w:line="360" w:lineRule="auto"/>
              <w:rPr>
                <w:rFonts w:ascii="仿宋" w:hAnsi="仿宋" w:eastAsia="仿宋" w:cs="仿宋"/>
                <w:color w:val="auto"/>
                <w:sz w:val="24"/>
                <w:szCs w:val="24"/>
                <w:highlight w:val="none"/>
              </w:rPr>
            </w:pPr>
          </w:p>
        </w:tc>
        <w:tc>
          <w:tcPr>
            <w:tcW w:w="2551" w:type="dxa"/>
            <w:vAlign w:val="center"/>
          </w:tcPr>
          <w:p w14:paraId="1A5CF3D4">
            <w:pPr>
              <w:spacing w:line="360" w:lineRule="auto"/>
              <w:rPr>
                <w:rFonts w:ascii="仿宋" w:hAnsi="仿宋" w:eastAsia="仿宋" w:cs="仿宋"/>
                <w:color w:val="auto"/>
                <w:sz w:val="24"/>
                <w:szCs w:val="24"/>
                <w:highlight w:val="none"/>
              </w:rPr>
            </w:pPr>
          </w:p>
        </w:tc>
      </w:tr>
      <w:tr w14:paraId="6FAF17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8" w:hRule="atLeast"/>
        </w:trPr>
        <w:tc>
          <w:tcPr>
            <w:tcW w:w="804" w:type="dxa"/>
            <w:vAlign w:val="center"/>
          </w:tcPr>
          <w:p w14:paraId="6653B140">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1876" w:type="dxa"/>
            <w:vAlign w:val="center"/>
          </w:tcPr>
          <w:p w14:paraId="0595A3BC">
            <w:pPr>
              <w:spacing w:line="360" w:lineRule="auto"/>
              <w:rPr>
                <w:rFonts w:ascii="仿宋" w:hAnsi="仿宋" w:eastAsia="仿宋" w:cs="仿宋"/>
                <w:color w:val="auto"/>
                <w:sz w:val="24"/>
                <w:szCs w:val="24"/>
                <w:highlight w:val="none"/>
              </w:rPr>
            </w:pPr>
          </w:p>
        </w:tc>
        <w:tc>
          <w:tcPr>
            <w:tcW w:w="1695" w:type="dxa"/>
            <w:vAlign w:val="center"/>
          </w:tcPr>
          <w:p w14:paraId="45D18DB3">
            <w:pPr>
              <w:spacing w:line="360" w:lineRule="auto"/>
              <w:rPr>
                <w:rFonts w:ascii="仿宋" w:hAnsi="仿宋" w:eastAsia="仿宋" w:cs="仿宋"/>
                <w:color w:val="auto"/>
                <w:sz w:val="24"/>
                <w:szCs w:val="24"/>
                <w:highlight w:val="none"/>
              </w:rPr>
            </w:pPr>
          </w:p>
        </w:tc>
        <w:tc>
          <w:tcPr>
            <w:tcW w:w="1275" w:type="dxa"/>
          </w:tcPr>
          <w:p w14:paraId="6593FDB6">
            <w:pPr>
              <w:spacing w:line="360" w:lineRule="auto"/>
              <w:rPr>
                <w:rFonts w:ascii="仿宋" w:hAnsi="仿宋" w:eastAsia="仿宋" w:cs="仿宋"/>
                <w:color w:val="auto"/>
                <w:sz w:val="24"/>
                <w:szCs w:val="24"/>
                <w:highlight w:val="none"/>
              </w:rPr>
            </w:pPr>
          </w:p>
        </w:tc>
        <w:tc>
          <w:tcPr>
            <w:tcW w:w="1418" w:type="dxa"/>
            <w:vAlign w:val="center"/>
          </w:tcPr>
          <w:p w14:paraId="51D4F51B">
            <w:pPr>
              <w:spacing w:line="360" w:lineRule="auto"/>
              <w:rPr>
                <w:rFonts w:ascii="仿宋" w:hAnsi="仿宋" w:eastAsia="仿宋" w:cs="仿宋"/>
                <w:color w:val="auto"/>
                <w:sz w:val="24"/>
                <w:szCs w:val="24"/>
                <w:highlight w:val="none"/>
              </w:rPr>
            </w:pPr>
          </w:p>
        </w:tc>
        <w:tc>
          <w:tcPr>
            <w:tcW w:w="2551" w:type="dxa"/>
            <w:vAlign w:val="center"/>
          </w:tcPr>
          <w:p w14:paraId="4289535D">
            <w:pPr>
              <w:spacing w:line="360" w:lineRule="auto"/>
              <w:rPr>
                <w:rFonts w:ascii="仿宋" w:hAnsi="仿宋" w:eastAsia="仿宋" w:cs="仿宋"/>
                <w:color w:val="auto"/>
                <w:sz w:val="24"/>
                <w:szCs w:val="24"/>
                <w:highlight w:val="none"/>
              </w:rPr>
            </w:pPr>
          </w:p>
        </w:tc>
      </w:tr>
      <w:tr w14:paraId="2DAACA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trPr>
        <w:tc>
          <w:tcPr>
            <w:tcW w:w="804" w:type="dxa"/>
            <w:vAlign w:val="center"/>
          </w:tcPr>
          <w:p w14:paraId="29637C1A">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1876" w:type="dxa"/>
            <w:vAlign w:val="center"/>
          </w:tcPr>
          <w:p w14:paraId="20E19C8B">
            <w:pPr>
              <w:spacing w:line="360" w:lineRule="auto"/>
              <w:jc w:val="cente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1695" w:type="dxa"/>
            <w:vAlign w:val="center"/>
          </w:tcPr>
          <w:p w14:paraId="03230400">
            <w:pPr>
              <w:spacing w:line="360" w:lineRule="auto"/>
              <w:rPr>
                <w:rFonts w:ascii="仿宋" w:hAnsi="仿宋" w:eastAsia="仿宋" w:cs="仿宋"/>
                <w:color w:val="auto"/>
                <w:sz w:val="24"/>
                <w:szCs w:val="24"/>
                <w:highlight w:val="none"/>
              </w:rPr>
            </w:pPr>
          </w:p>
        </w:tc>
        <w:tc>
          <w:tcPr>
            <w:tcW w:w="1275" w:type="dxa"/>
          </w:tcPr>
          <w:p w14:paraId="702BFF62">
            <w:pPr>
              <w:spacing w:line="360" w:lineRule="auto"/>
              <w:rPr>
                <w:rFonts w:ascii="仿宋" w:hAnsi="仿宋" w:eastAsia="仿宋" w:cs="仿宋"/>
                <w:color w:val="auto"/>
                <w:sz w:val="24"/>
                <w:szCs w:val="24"/>
                <w:highlight w:val="none"/>
              </w:rPr>
            </w:pPr>
          </w:p>
        </w:tc>
        <w:tc>
          <w:tcPr>
            <w:tcW w:w="1418" w:type="dxa"/>
            <w:vAlign w:val="center"/>
          </w:tcPr>
          <w:p w14:paraId="7437361F">
            <w:pPr>
              <w:spacing w:line="360" w:lineRule="auto"/>
              <w:rPr>
                <w:rFonts w:ascii="仿宋" w:hAnsi="仿宋" w:eastAsia="仿宋" w:cs="仿宋"/>
                <w:color w:val="auto"/>
                <w:sz w:val="24"/>
                <w:szCs w:val="24"/>
                <w:highlight w:val="none"/>
              </w:rPr>
            </w:pPr>
          </w:p>
        </w:tc>
        <w:tc>
          <w:tcPr>
            <w:tcW w:w="2551" w:type="dxa"/>
            <w:vAlign w:val="center"/>
          </w:tcPr>
          <w:p w14:paraId="37DA64CC">
            <w:pPr>
              <w:spacing w:line="360" w:lineRule="auto"/>
              <w:rPr>
                <w:rFonts w:ascii="仿宋" w:hAnsi="仿宋" w:eastAsia="仿宋" w:cs="仿宋"/>
                <w:color w:val="auto"/>
                <w:sz w:val="24"/>
                <w:szCs w:val="24"/>
                <w:highlight w:val="none"/>
              </w:rPr>
            </w:pPr>
          </w:p>
        </w:tc>
      </w:tr>
    </w:tbl>
    <w:p w14:paraId="59AA694A">
      <w:pPr>
        <w:spacing w:line="360" w:lineRule="auto"/>
        <w:rPr>
          <w:rFonts w:ascii="仿宋" w:hAnsi="仿宋" w:eastAsia="仿宋" w:cs="仿宋"/>
          <w:color w:val="auto"/>
          <w:highlight w:val="none"/>
        </w:rPr>
      </w:pPr>
      <w:r>
        <w:rPr>
          <w:rFonts w:hint="eastAsia" w:ascii="仿宋" w:hAnsi="仿宋" w:eastAsia="仿宋" w:cs="仿宋"/>
          <w:color w:val="auto"/>
          <w:highlight w:val="none"/>
        </w:rPr>
        <w:t>注：此表为表样，行数可自行添加，但表式不变。根据评分标准要求，附上业绩证明材料。</w:t>
      </w:r>
    </w:p>
    <w:p w14:paraId="18E31E8D">
      <w:pPr>
        <w:spacing w:line="360" w:lineRule="auto"/>
        <w:jc w:val="left"/>
        <w:rPr>
          <w:rFonts w:ascii="仿宋" w:hAnsi="仿宋" w:eastAsia="仿宋" w:cs="仿宋"/>
          <w:color w:val="auto"/>
          <w:sz w:val="24"/>
          <w:szCs w:val="24"/>
          <w:highlight w:val="none"/>
        </w:rPr>
      </w:pPr>
    </w:p>
    <w:p w14:paraId="5EA050D4">
      <w:pPr>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投标人全称（加盖公章）：</w:t>
      </w:r>
    </w:p>
    <w:p w14:paraId="07A4887B">
      <w:pPr>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法人或授权代表（签字）：</w:t>
      </w:r>
    </w:p>
    <w:p w14:paraId="3A0A89DC">
      <w:pPr>
        <w:spacing w:line="360" w:lineRule="auto"/>
        <w:jc w:val="lef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4D74BA8B">
      <w:pPr>
        <w:spacing w:line="360" w:lineRule="auto"/>
        <w:rPr>
          <w:color w:val="auto"/>
          <w:highlight w:val="none"/>
        </w:rPr>
      </w:pPr>
    </w:p>
    <w:p w14:paraId="47AE076C">
      <w:pPr>
        <w:spacing w:line="360" w:lineRule="auto"/>
        <w:rPr>
          <w:color w:val="auto"/>
          <w:highlight w:val="none"/>
        </w:rPr>
      </w:pPr>
    </w:p>
    <w:p w14:paraId="25012E42">
      <w:pPr>
        <w:spacing w:line="360" w:lineRule="auto"/>
        <w:rPr>
          <w:color w:val="auto"/>
          <w:highlight w:val="none"/>
        </w:rPr>
      </w:pPr>
    </w:p>
    <w:p w14:paraId="13312531">
      <w:pPr>
        <w:spacing w:line="360" w:lineRule="auto"/>
        <w:rPr>
          <w:color w:val="auto"/>
          <w:highlight w:val="none"/>
        </w:rPr>
      </w:pPr>
    </w:p>
    <w:p w14:paraId="43C9F2D3">
      <w:pPr>
        <w:widowControl/>
        <w:spacing w:line="360" w:lineRule="auto"/>
        <w:jc w:val="both"/>
        <w:rPr>
          <w:color w:val="auto"/>
          <w:highlight w:val="none"/>
        </w:rPr>
      </w:pPr>
      <w:r>
        <w:rPr>
          <w:rFonts w:hint="eastAsia" w:ascii="仿宋" w:hAnsi="仿宋" w:eastAsia="仿宋" w:cs="仿宋"/>
          <w:b/>
          <w:bCs/>
          <w:color w:val="auto"/>
          <w:sz w:val="24"/>
          <w:szCs w:val="24"/>
          <w:highlight w:val="none"/>
          <w:lang w:val="en-US" w:eastAsia="zh-CN" w:bidi="ar"/>
        </w:rPr>
        <w:t>2、</w:t>
      </w:r>
      <w:r>
        <w:rPr>
          <w:rFonts w:hint="eastAsia" w:ascii="仿宋" w:hAnsi="仿宋" w:eastAsia="仿宋" w:cs="仿宋"/>
          <w:b/>
          <w:bCs/>
          <w:color w:val="auto"/>
          <w:sz w:val="24"/>
          <w:szCs w:val="24"/>
          <w:highlight w:val="none"/>
          <w:lang w:bidi="ar"/>
        </w:rPr>
        <w:t>投标人</w:t>
      </w:r>
      <w:r>
        <w:rPr>
          <w:rFonts w:ascii="仿宋" w:hAnsi="仿宋" w:eastAsia="仿宋" w:cs="仿宋"/>
          <w:b/>
          <w:bCs/>
          <w:color w:val="auto"/>
          <w:sz w:val="24"/>
          <w:szCs w:val="24"/>
          <w:highlight w:val="none"/>
          <w:lang w:bidi="ar"/>
        </w:rPr>
        <w:t>认为有必要提供的其他文件（格式内容自拟）</w:t>
      </w:r>
    </w:p>
    <w:p w14:paraId="0554426F">
      <w:pPr>
        <w:spacing w:line="360" w:lineRule="auto"/>
        <w:rPr>
          <w:color w:val="auto"/>
          <w:highlight w:val="none"/>
        </w:rPr>
        <w:sectPr>
          <w:pgSz w:w="11906" w:h="16838"/>
          <w:pgMar w:top="1440" w:right="1080" w:bottom="1440" w:left="1080" w:header="851" w:footer="907" w:gutter="0"/>
          <w:pgNumType w:fmt="decimal"/>
          <w:cols w:space="720" w:num="1"/>
          <w:docGrid w:linePitch="360" w:charSpace="0"/>
        </w:sectPr>
      </w:pPr>
    </w:p>
    <w:p w14:paraId="5CBCA1B4">
      <w:pPr>
        <w:spacing w:line="360" w:lineRule="auto"/>
        <w:rPr>
          <w:rFonts w:ascii="仿宋" w:hAnsi="仿宋" w:eastAsia="仿宋" w:cs="仿宋"/>
          <w:b/>
          <w:bCs/>
          <w:iCs/>
          <w:color w:val="auto"/>
          <w:sz w:val="32"/>
          <w:szCs w:val="32"/>
          <w:highlight w:val="none"/>
        </w:rPr>
      </w:pPr>
      <w:r>
        <w:rPr>
          <w:rFonts w:hint="eastAsia" w:ascii="仿宋" w:hAnsi="仿宋" w:eastAsia="仿宋" w:cs="仿宋"/>
          <w:b/>
          <w:bCs/>
          <w:iCs/>
          <w:color w:val="auto"/>
          <w:sz w:val="32"/>
          <w:szCs w:val="32"/>
          <w:highlight w:val="none"/>
        </w:rPr>
        <w:t>附件1：规范招投标及履约行为提醒单</w:t>
      </w:r>
    </w:p>
    <w:p w14:paraId="054C781D">
      <w:pPr>
        <w:spacing w:line="600" w:lineRule="exact"/>
        <w:jc w:val="center"/>
        <w:rPr>
          <w:rFonts w:ascii="方正小标宋简体" w:hAnsi="Calibri" w:eastAsia="方正小标宋简体"/>
          <w:color w:val="auto"/>
          <w:sz w:val="44"/>
          <w:szCs w:val="44"/>
          <w:highlight w:val="none"/>
        </w:rPr>
      </w:pPr>
      <w:r>
        <w:rPr>
          <w:rFonts w:hint="eastAsia" w:ascii="方正小标宋简体" w:hAnsi="Calibri" w:eastAsia="方正小标宋简体"/>
          <w:color w:val="auto"/>
          <w:sz w:val="44"/>
          <w:szCs w:val="44"/>
          <w:highlight w:val="none"/>
        </w:rPr>
        <w:t>规范招投标及履约行为提醒单</w:t>
      </w:r>
    </w:p>
    <w:p w14:paraId="7E7B25A2">
      <w:pPr>
        <w:spacing w:line="500" w:lineRule="exact"/>
        <w:rPr>
          <w:color w:val="auto"/>
          <w:szCs w:val="32"/>
          <w:highlight w:val="none"/>
          <w:u w:val="single"/>
        </w:rPr>
      </w:pPr>
    </w:p>
    <w:p w14:paraId="24A4FF20">
      <w:pPr>
        <w:spacing w:line="500" w:lineRule="exact"/>
        <w:ind w:firstLine="632"/>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为推进我局招投标及合同履行工作公开、透明、规范运行，现将相关党风廉政要求提醒如下：</w:t>
      </w:r>
    </w:p>
    <w:p w14:paraId="6FB97C06">
      <w:pPr>
        <w:spacing w:line="500" w:lineRule="exact"/>
        <w:ind w:firstLine="632"/>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1．严格遵守党和国家有关法律法规等相关规定开展招投标和履行合同工作，坚持公开、公正、诚信、透明的原则（除法律认定的商业秘密和合同文件另有规定之外），不得损害国家和集体利益。</w:t>
      </w:r>
    </w:p>
    <w:p w14:paraId="2CDCDD0B">
      <w:pPr>
        <w:tabs>
          <w:tab w:val="left" w:pos="-720"/>
        </w:tabs>
        <w:spacing w:line="500" w:lineRule="exact"/>
        <w:ind w:firstLine="632"/>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2．严禁相互串通投标或者与招标人串通投标，不得约定抬高报价、轮流中标、分配中标项目等。严禁以诋毁、诽谤其他供应商，或散布虚假信息、恶意投诉等不正当手段妨碍、排挤竞争对手，干扰正常招标采购秩序，不得损害其他供应商合法权益及国家利益。</w:t>
      </w:r>
    </w:p>
    <w:p w14:paraId="607BC862">
      <w:pPr>
        <w:tabs>
          <w:tab w:val="left" w:pos="-720"/>
        </w:tabs>
        <w:spacing w:line="500" w:lineRule="exact"/>
        <w:ind w:firstLine="632"/>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3．严禁私下接触评审专家、采购项目负责人及关键岗位人员，不得通过打探评审信息、泄露评审内容、私下沟通报价等方式干扰评审工作。严禁通过说情打招呼、递条子、托关系等方式，或利用职权关联、利益输送等手段干预采购流程，不得通过中介、代理人等间接渠道实施上述违规行为。</w:t>
      </w:r>
    </w:p>
    <w:p w14:paraId="1DD27573">
      <w:pPr>
        <w:tabs>
          <w:tab w:val="left" w:pos="-720"/>
        </w:tabs>
        <w:spacing w:line="500" w:lineRule="exact"/>
        <w:ind w:firstLine="632"/>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4. 严禁弄虚作假，确保投标文件中提供的所有材料（包括资质证书、业绩证明、人员证书、财务报表等）真实、合法、有效，不存在任何伪造、变造、虚假内容；严禁擅自撤回、虚假响应；严禁他人名义投标，不出借、转让资质证书供他人投标；严禁低于成本的报价竞标。</w:t>
      </w:r>
    </w:p>
    <w:p w14:paraId="65E3B45C">
      <w:pPr>
        <w:spacing w:line="500" w:lineRule="exact"/>
        <w:ind w:firstLine="632"/>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5. 严禁以任何理由向我局工作人员、代理机构、评审专家行贿或赠送现金、礼品、有价证券、支付凭证、电子红包等不正当利益；不得以任何名义为我局工作人员报销应由我局单位或个人支付的任何费用；不得以任何理由提供宴请、旅游、娱乐、健身等可能影响公正评审的活动安排；不得为我局单位或个人购置或提供通讯工具、交通工具和高档办公用品等。</w:t>
      </w:r>
    </w:p>
    <w:p w14:paraId="555EAA57">
      <w:pPr>
        <w:spacing w:line="500" w:lineRule="exact"/>
        <w:ind w:firstLine="632"/>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6. 若中标，严格按招标文件和投标文件的约定签订合同并履行，严禁无正当理由放弃中标或拒绝签订合同；严格按照合同约定条款履行义务，防止因不及时履约对我局带来的廉政风险。</w:t>
      </w:r>
    </w:p>
    <w:p w14:paraId="1C43DA73">
      <w:pPr>
        <w:spacing w:line="500" w:lineRule="exact"/>
        <w:ind w:firstLine="632"/>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请贵单位认真遵守相关法律法规开展工作，如发现我局在业务活动中有违反廉政规定的行为，应及时提醒纠正，向局机关纪委反映。</w:t>
      </w:r>
    </w:p>
    <w:p w14:paraId="2CDBF682">
      <w:pPr>
        <w:spacing w:line="500" w:lineRule="exact"/>
        <w:ind w:firstLine="632"/>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我局对贵单位开展情况将进行全过程监督，一旦发现贵单位有违反党和国家有关法律法规的，将视情取消资格并移送相关部门处理。局机关纪委联系人：杭平，电话：025-84329738。</w:t>
      </w:r>
    </w:p>
    <w:p w14:paraId="6CB6AF69">
      <w:pPr>
        <w:spacing w:line="500" w:lineRule="exact"/>
        <w:ind w:firstLine="632"/>
        <w:rPr>
          <w:rFonts w:ascii="仿宋" w:hAnsi="仿宋" w:eastAsia="仿宋" w:cs="仿宋"/>
          <w:color w:val="auto"/>
          <w:sz w:val="24"/>
          <w:szCs w:val="24"/>
          <w:highlight w:val="none"/>
        </w:rPr>
      </w:pPr>
    </w:p>
    <w:p w14:paraId="591DBC34">
      <w:pPr>
        <w:spacing w:line="500" w:lineRule="exact"/>
        <w:ind w:firstLine="632"/>
        <w:rPr>
          <w:rFonts w:ascii="仿宋" w:hAnsi="仿宋" w:eastAsia="仿宋" w:cs="仿宋"/>
          <w:color w:val="auto"/>
          <w:sz w:val="24"/>
          <w:szCs w:val="24"/>
          <w:highlight w:val="none"/>
        </w:rPr>
      </w:pPr>
    </w:p>
    <w:p w14:paraId="54FC9C3B">
      <w:pPr>
        <w:spacing w:line="500" w:lineRule="exact"/>
        <w:ind w:firstLine="1920" w:firstLineChars="8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江苏省交通运输综合行政执法监督局</w:t>
      </w:r>
    </w:p>
    <w:p w14:paraId="273FAE6D">
      <w:pPr>
        <w:pBdr>
          <w:bottom w:val="single" w:color="auto" w:sz="6" w:space="8"/>
        </w:pBdr>
        <w:spacing w:line="500" w:lineRule="exact"/>
        <w:ind w:firstLine="632"/>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2026年</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17</w:t>
      </w:r>
      <w:r>
        <w:rPr>
          <w:rFonts w:hint="eastAsia" w:ascii="仿宋" w:hAnsi="仿宋" w:eastAsia="仿宋" w:cs="仿宋"/>
          <w:color w:val="auto"/>
          <w:sz w:val="24"/>
          <w:szCs w:val="24"/>
          <w:highlight w:val="none"/>
        </w:rPr>
        <w:t>日</w:t>
      </w:r>
    </w:p>
    <w:p w14:paraId="1ECEF84C">
      <w:pPr>
        <w:spacing w:line="500" w:lineRule="exact"/>
        <w:ind w:firstLine="632"/>
        <w:rPr>
          <w:rFonts w:ascii="仿宋" w:hAnsi="仿宋" w:eastAsia="仿宋" w:cs="仿宋"/>
          <w:color w:val="auto"/>
          <w:sz w:val="24"/>
          <w:szCs w:val="24"/>
          <w:highlight w:val="none"/>
        </w:rPr>
      </w:pPr>
    </w:p>
    <w:p w14:paraId="2A219119">
      <w:pPr>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参与单位承诺：</w:t>
      </w:r>
    </w:p>
    <w:p w14:paraId="5BFD4AA7">
      <w:pPr>
        <w:spacing w:line="500" w:lineRule="exact"/>
        <w:ind w:firstLine="632"/>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我单位已阅知并接受上述提醒，并保证在本项目投标和履约过程中认真遵守相关法律法规和你单位廉政规定。</w:t>
      </w:r>
    </w:p>
    <w:p w14:paraId="5241896C">
      <w:pPr>
        <w:spacing w:line="500" w:lineRule="exact"/>
        <w:ind w:firstLine="632"/>
        <w:rPr>
          <w:rFonts w:ascii="仿宋" w:hAnsi="仿宋" w:eastAsia="仿宋" w:cs="仿宋"/>
          <w:color w:val="auto"/>
          <w:sz w:val="24"/>
          <w:szCs w:val="24"/>
          <w:highlight w:val="none"/>
        </w:rPr>
      </w:pPr>
    </w:p>
    <w:p w14:paraId="72B5C6FE">
      <w:pPr>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单位（签章）： </w:t>
      </w:r>
    </w:p>
    <w:p w14:paraId="5A61CF8B">
      <w:pPr>
        <w:spacing w:line="500"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年   月  日</w:t>
      </w:r>
    </w:p>
    <w:p w14:paraId="157B12A1">
      <w:pPr>
        <w:rPr>
          <w:color w:val="auto"/>
          <w:highlight w:val="none"/>
        </w:rPr>
      </w:pPr>
    </w:p>
    <w:p w14:paraId="7484FDF7">
      <w:pPr>
        <w:jc w:val="center"/>
        <w:rPr>
          <w:color w:val="auto"/>
          <w:highlight w:val="none"/>
        </w:rPr>
      </w:pPr>
    </w:p>
    <w:sectPr>
      <w:footerReference r:id="rId13" w:type="default"/>
      <w:pgSz w:w="11906" w:h="16838"/>
      <w:pgMar w:top="1440" w:right="1080" w:bottom="1440" w:left="1080" w:header="851" w:footer="907"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593B2B53-3A11-4F4E-9625-8ED663CCB286}"/>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2" w:fontKey="{C647BDAC-66AC-4EBF-9DA1-19644657F536}"/>
  </w:font>
  <w:font w:name="全真楷書">
    <w:altName w:val="宋体"/>
    <w:panose1 w:val="00000000000000000000"/>
    <w:charset w:val="88"/>
    <w:family w:val="modern"/>
    <w:pitch w:val="default"/>
    <w:sig w:usb0="00000000" w:usb1="00000000" w:usb2="00000010" w:usb3="00000000" w:csb0="0010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swiss"/>
    <w:pitch w:val="default"/>
    <w:sig w:usb0="FFFFFFFF" w:usb1="E9FFFFFF" w:usb2="0000003F" w:usb3="00000000" w:csb0="603F01FF" w:csb1="FFFF0000"/>
  </w:font>
  <w:font w:name="方正黑体_GBK">
    <w:altName w:val="Arial Unicode MS"/>
    <w:panose1 w:val="03000509000000000000"/>
    <w:charset w:val="86"/>
    <w:family w:val="script"/>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方正小标宋_GBK">
    <w:panose1 w:val="03000509000000000000"/>
    <w:charset w:val="86"/>
    <w:family w:val="script"/>
    <w:pitch w:val="default"/>
    <w:sig w:usb0="00000001" w:usb1="080E0000" w:usb2="00000000" w:usb3="00000000" w:csb0="00040000" w:csb1="00000000"/>
    <w:embedRegular r:id="rId3" w:fontKey="{28C45754-C994-43B3-B076-80AD53F23B1A}"/>
  </w:font>
  <w:font w:name="Wingdings 2">
    <w:panose1 w:val="05020102010507070707"/>
    <w:charset w:val="02"/>
    <w:family w:val="roman"/>
    <w:pitch w:val="default"/>
    <w:sig w:usb0="00000000" w:usb1="00000000" w:usb2="00000000" w:usb3="00000000" w:csb0="80000000" w:csb1="00000000"/>
    <w:embedRegular r:id="rId4" w:fontKey="{8B6D13FF-44B4-4035-8946-A082818B2546}"/>
  </w:font>
  <w:font w:name="方正魏碑_GBK">
    <w:panose1 w:val="03000509000000000000"/>
    <w:charset w:val="86"/>
    <w:family w:val="auto"/>
    <w:pitch w:val="default"/>
    <w:sig w:usb0="00000001" w:usb1="080E0000" w:usb2="00000000" w:usb3="00000000" w:csb0="00040000" w:csb1="00000000"/>
    <w:embedRegular r:id="rId5" w:fontKey="{426ACB06-AF6E-45F3-8534-B90DB2108C06}"/>
  </w:font>
  <w:font w:name="方正小标宋简体">
    <w:panose1 w:val="03000509000000000000"/>
    <w:charset w:val="86"/>
    <w:family w:val="auto"/>
    <w:pitch w:val="default"/>
    <w:sig w:usb0="00000001" w:usb1="080E0000" w:usb2="00000000" w:usb3="00000000" w:csb0="00040000" w:csb1="00000000"/>
    <w:embedRegular r:id="rId6" w:fontKey="{828C9C57-4FF8-4BAD-B7F0-05C5376DE619}"/>
  </w:font>
  <w:font w:name="WPSEMBED12">
    <w:panose1 w:val="03000509000000000000"/>
    <w:charset w:val="86"/>
    <w:family w:val="auto"/>
    <w:pitch w:val="default"/>
    <w:sig w:usb0="00000001" w:usb1="080E0000" w:usb2="00000000" w:usb3="00000000" w:csb0="00040000" w:csb1="00000000"/>
  </w:font>
  <w:font w:name="WPSEMBED11">
    <w:panose1 w:val="03000509000000000000"/>
    <w:charset w:val="86"/>
    <w:family w:val="auto"/>
    <w:pitch w:val="default"/>
    <w:sig w:usb0="00000001" w:usb1="080E0000" w:usb2="00000000" w:usb3="00000000" w:csb0="00040000" w:csb1="00000000"/>
  </w:font>
  <w:font w:name="WPSEMBED13">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3B90EE">
    <w:pPr>
      <w:pStyle w:val="220"/>
      <w:jc w:val="center"/>
      <w:rPr>
        <w:b/>
        <w: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26AB43">
    <w:pPr>
      <w:pStyle w:val="220"/>
      <w:tabs>
        <w:tab w:val="center" w:pos="4476"/>
        <w:tab w:val="clear" w:pos="4153"/>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626BE7">
    <w:pPr>
      <w:pStyle w:val="220"/>
      <w:jc w:val="center"/>
      <w:rPr>
        <w:b/>
        <w:i/>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763280">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E763280">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A0C365">
    <w:pPr>
      <w:pStyle w:val="220"/>
      <w:jc w:val="center"/>
      <w:rPr>
        <w:b/>
        <w:i/>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CCAEB8">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3CCAEB8">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2897A3">
    <w:pPr>
      <w:pStyle w:val="220"/>
      <w:jc w:val="center"/>
      <w:rPr>
        <w:b/>
        <w:i/>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548F3D">
                          <w:pPr>
                            <w:pStyle w:val="22"/>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49548F3D">
                    <w:pPr>
                      <w:pStyle w:val="22"/>
                    </w:pPr>
                    <w:r>
                      <w:fldChar w:fldCharType="begin"/>
                    </w:r>
                    <w:r>
                      <w:instrText xml:space="preserve"> PAGE  \* MERGEFORMAT </w:instrText>
                    </w:r>
                    <w:r>
                      <w:fldChar w:fldCharType="separate"/>
                    </w:r>
                    <w:r>
                      <w:t>28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91E374">
    <w:pPr>
      <w:pStyle w:val="220"/>
      <w:jc w:val="center"/>
      <w:rPr>
        <w:b/>
        <w:i/>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C46512">
                          <w:pPr>
                            <w:pStyle w:val="22"/>
                          </w:pPr>
                          <w:r>
                            <w:fldChar w:fldCharType="begin"/>
                          </w:r>
                          <w:r>
                            <w:instrText xml:space="preserve"> PAGE  \* MERGEFORMAT </w:instrText>
                          </w:r>
                          <w:r>
                            <w:fldChar w:fldCharType="separate"/>
                          </w:r>
                          <w:r>
                            <w:t>58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29C46512">
                    <w:pPr>
                      <w:pStyle w:val="22"/>
                    </w:pPr>
                    <w:r>
                      <w:fldChar w:fldCharType="begin"/>
                    </w:r>
                    <w:r>
                      <w:instrText xml:space="preserve"> PAGE  \* MERGEFORMAT </w:instrText>
                    </w:r>
                    <w:r>
                      <w:fldChar w:fldCharType="separate"/>
                    </w:r>
                    <w:r>
                      <w:t>58</w:t>
                    </w:r>
                    <w: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841C63B">
                          <w:pPr>
                            <w:pStyle w:val="220"/>
                          </w:pPr>
                        </w:p>
                        <w:p w14:paraId="5FBB24B3"/>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Xzz8p9MBAACpAwAADgAAAAAAAAABACAAAAAeAQAA&#10;ZHJzL2Uyb0RvYy54bWxQSwUGAAAAAAYABgBZAQAAYwUAAAAA&#10;">
              <v:fill on="f" focussize="0,0"/>
              <v:stroke on="f"/>
              <v:imagedata o:title=""/>
              <o:lock v:ext="edit" aspectratio="f"/>
              <v:textbox inset="0mm,0mm,0mm,0mm" style="mso-fit-shape-to-text:t;">
                <w:txbxContent>
                  <w:p w14:paraId="5841C63B">
                    <w:pPr>
                      <w:pStyle w:val="220"/>
                    </w:pPr>
                  </w:p>
                  <w:p w14:paraId="5FBB24B3"/>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49025D">
    <w:pPr>
      <w:pStyle w:val="221"/>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C77C17">
    <w:pPr>
      <w:pStyle w:val="221"/>
      <w:pBdr>
        <w:bottom w:val="none" w:color="auto" w:sz="0" w:space="1"/>
      </w:pBdr>
      <w:tabs>
        <w:tab w:val="center" w:pos="4873"/>
      </w:tabs>
      <w:jc w:val="left"/>
    </w:pPr>
    <w:r>
      <w:rPr>
        <w:rFonts w:hint="eastAsia"/>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D7F54F">
    <w:pPr>
      <w:pStyle w:val="221"/>
      <w:pBdr>
        <w:bottom w:val="none" w:color="000000" w:sz="0" w:space="0"/>
      </w:pBdr>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A966E2">
    <w:pPr>
      <w:pStyle w:val="221"/>
      <w:pBdr>
        <w:bottom w:val="none" w:color="000000" w:sz="0" w:space="0"/>
      </w:pBdr>
      <w:ind w:firstLine="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03F6CA">
    <w:pPr>
      <w:pStyle w:val="221"/>
      <w:pBdr>
        <w:bottom w:val="none" w:color="000000" w:sz="0" w:space="0"/>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upperLetter"/>
      <w:pStyle w:val="245"/>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E55B58BD"/>
    <w:multiLevelType w:val="singleLevel"/>
    <w:tmpl w:val="E55B58BD"/>
    <w:lvl w:ilvl="0" w:tentative="0">
      <w:start w:val="3"/>
      <w:numFmt w:val="decimal"/>
      <w:lvlText w:val="(%1)"/>
      <w:lvlJc w:val="left"/>
      <w:pPr>
        <w:tabs>
          <w:tab w:val="left" w:pos="312"/>
        </w:tabs>
      </w:pPr>
    </w:lvl>
  </w:abstractNum>
  <w:abstractNum w:abstractNumId="2">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96"/>
      <w:suff w:val="nothing"/>
      <w:lvlText w:val=""/>
      <w:lvlJc w:val="left"/>
      <w:pPr>
        <w:ind w:left="0" w:firstLine="0"/>
      </w:pPr>
      <w:rPr>
        <w:rFonts w:hint="eastAsia"/>
      </w:rPr>
    </w:lvl>
    <w:lvl w:ilvl="6" w:tentative="0">
      <w:start w:val="1"/>
      <w:numFmt w:val="decimal"/>
      <w:pStyle w:val="197"/>
      <w:suff w:val="nothing"/>
      <w:lvlText w:val=""/>
      <w:lvlJc w:val="left"/>
      <w:pPr>
        <w:ind w:left="0" w:firstLine="0"/>
      </w:pPr>
      <w:rPr>
        <w:rFonts w:hint="eastAsia"/>
      </w:rPr>
    </w:lvl>
    <w:lvl w:ilvl="7" w:tentative="0">
      <w:start w:val="1"/>
      <w:numFmt w:val="decimal"/>
      <w:pStyle w:val="198"/>
      <w:suff w:val="nothing"/>
      <w:lvlText w:val=""/>
      <w:lvlJc w:val="left"/>
      <w:pPr>
        <w:ind w:left="0" w:firstLine="0"/>
      </w:pPr>
      <w:rPr>
        <w:rFonts w:hint="eastAsia"/>
      </w:rPr>
    </w:lvl>
    <w:lvl w:ilvl="8" w:tentative="0">
      <w:start w:val="1"/>
      <w:numFmt w:val="decimal"/>
      <w:pStyle w:val="199"/>
      <w:suff w:val="nothing"/>
      <w:lvlText w:val=""/>
      <w:lvlJc w:val="left"/>
      <w:pPr>
        <w:ind w:left="0" w:firstLine="0"/>
      </w:pPr>
      <w:rPr>
        <w:rFonts w:hint="eastAsia"/>
      </w:rPr>
    </w:lvl>
  </w:abstractNum>
  <w:abstractNum w:abstractNumId="3">
    <w:nsid w:val="44786B1F"/>
    <w:multiLevelType w:val="singleLevel"/>
    <w:tmpl w:val="44786B1F"/>
    <w:lvl w:ilvl="0" w:tentative="0">
      <w:start w:val="2"/>
      <w:numFmt w:val="decimal"/>
      <w:lvlText w:val="%1."/>
      <w:lvlJc w:val="left"/>
      <w:pPr>
        <w:tabs>
          <w:tab w:val="left" w:pos="312"/>
        </w:tabs>
      </w:pPr>
    </w:lvl>
  </w:abstractNum>
  <w:abstractNum w:abstractNumId="4">
    <w:nsid w:val="59ADCABA"/>
    <w:multiLevelType w:val="multilevel"/>
    <w:tmpl w:val="59ADCABA"/>
    <w:lvl w:ilvl="0" w:tentative="0">
      <w:start w:val="1"/>
      <w:numFmt w:val="decimal"/>
      <w:pStyle w:val="261"/>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embedTrueTypeFonts/>
  <w:saveSubsetFonts/>
  <w:bordersDoNotSurroundHeader w:val="0"/>
  <w:bordersDoNotSurroundFooter w:val="0"/>
  <w:documentProtection w:enforcement="0"/>
  <w:defaultTabStop w:val="425"/>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11A86"/>
    <w:rsid w:val="00172A27"/>
    <w:rsid w:val="00247865"/>
    <w:rsid w:val="003B6AEF"/>
    <w:rsid w:val="00837761"/>
    <w:rsid w:val="00867C46"/>
    <w:rsid w:val="009D0E4D"/>
    <w:rsid w:val="00BB765E"/>
    <w:rsid w:val="00ED5986"/>
    <w:rsid w:val="00F46D15"/>
    <w:rsid w:val="00F73BF1"/>
    <w:rsid w:val="025C3DE0"/>
    <w:rsid w:val="025F28B4"/>
    <w:rsid w:val="03594A16"/>
    <w:rsid w:val="035A2E3C"/>
    <w:rsid w:val="040177F9"/>
    <w:rsid w:val="049C2668"/>
    <w:rsid w:val="04CB4231"/>
    <w:rsid w:val="04E43D48"/>
    <w:rsid w:val="05545FD4"/>
    <w:rsid w:val="05573D16"/>
    <w:rsid w:val="05EB09CA"/>
    <w:rsid w:val="05F875F9"/>
    <w:rsid w:val="0667442D"/>
    <w:rsid w:val="06771D1A"/>
    <w:rsid w:val="06DF3FC3"/>
    <w:rsid w:val="06E83583"/>
    <w:rsid w:val="07213A9F"/>
    <w:rsid w:val="074667DB"/>
    <w:rsid w:val="078825AB"/>
    <w:rsid w:val="08577C79"/>
    <w:rsid w:val="08F724F0"/>
    <w:rsid w:val="09A426F2"/>
    <w:rsid w:val="09E55D95"/>
    <w:rsid w:val="0B100BEF"/>
    <w:rsid w:val="0B640F3B"/>
    <w:rsid w:val="0B6D37DA"/>
    <w:rsid w:val="0BD7795F"/>
    <w:rsid w:val="0C0D1227"/>
    <w:rsid w:val="0C105683"/>
    <w:rsid w:val="0CB67574"/>
    <w:rsid w:val="0D1F5436"/>
    <w:rsid w:val="0D3F2E3B"/>
    <w:rsid w:val="0D674D12"/>
    <w:rsid w:val="0E1F4085"/>
    <w:rsid w:val="0E282812"/>
    <w:rsid w:val="0E980A98"/>
    <w:rsid w:val="0EC86D78"/>
    <w:rsid w:val="0ECF2B6F"/>
    <w:rsid w:val="0F9022FF"/>
    <w:rsid w:val="0FAC2408"/>
    <w:rsid w:val="0FBD0C1A"/>
    <w:rsid w:val="0FCD3553"/>
    <w:rsid w:val="100A403A"/>
    <w:rsid w:val="10246EEB"/>
    <w:rsid w:val="109F0F54"/>
    <w:rsid w:val="10A714F5"/>
    <w:rsid w:val="11141A37"/>
    <w:rsid w:val="11A0203A"/>
    <w:rsid w:val="12250338"/>
    <w:rsid w:val="12250E5E"/>
    <w:rsid w:val="123D6008"/>
    <w:rsid w:val="12591658"/>
    <w:rsid w:val="12767ED2"/>
    <w:rsid w:val="12AA1929"/>
    <w:rsid w:val="13174B2D"/>
    <w:rsid w:val="14010CEA"/>
    <w:rsid w:val="14E54E9B"/>
    <w:rsid w:val="15051099"/>
    <w:rsid w:val="150F64E0"/>
    <w:rsid w:val="1556482D"/>
    <w:rsid w:val="1755065F"/>
    <w:rsid w:val="181B5077"/>
    <w:rsid w:val="181F6915"/>
    <w:rsid w:val="1857752E"/>
    <w:rsid w:val="18672756"/>
    <w:rsid w:val="18864F14"/>
    <w:rsid w:val="18AF6EB7"/>
    <w:rsid w:val="19392D03"/>
    <w:rsid w:val="19D00743"/>
    <w:rsid w:val="19EE2A43"/>
    <w:rsid w:val="1A195710"/>
    <w:rsid w:val="1A202A12"/>
    <w:rsid w:val="1A42165B"/>
    <w:rsid w:val="1B0C6778"/>
    <w:rsid w:val="1B2A17D2"/>
    <w:rsid w:val="1B6C118E"/>
    <w:rsid w:val="1BCC1635"/>
    <w:rsid w:val="1C640D9B"/>
    <w:rsid w:val="1DD73F28"/>
    <w:rsid w:val="1DDD2D91"/>
    <w:rsid w:val="1DE76C80"/>
    <w:rsid w:val="1EDE10C5"/>
    <w:rsid w:val="1F0C2799"/>
    <w:rsid w:val="1F1620F4"/>
    <w:rsid w:val="1F340938"/>
    <w:rsid w:val="1F527898"/>
    <w:rsid w:val="1F9C5978"/>
    <w:rsid w:val="1FA3607E"/>
    <w:rsid w:val="1FE20037"/>
    <w:rsid w:val="204213F3"/>
    <w:rsid w:val="21035862"/>
    <w:rsid w:val="21425423"/>
    <w:rsid w:val="21463165"/>
    <w:rsid w:val="219E183D"/>
    <w:rsid w:val="21C5052E"/>
    <w:rsid w:val="22034D4B"/>
    <w:rsid w:val="234C07DB"/>
    <w:rsid w:val="23741334"/>
    <w:rsid w:val="237613B4"/>
    <w:rsid w:val="24165312"/>
    <w:rsid w:val="258948EB"/>
    <w:rsid w:val="25F767DC"/>
    <w:rsid w:val="263A337B"/>
    <w:rsid w:val="26492CDC"/>
    <w:rsid w:val="266C096E"/>
    <w:rsid w:val="26F471BF"/>
    <w:rsid w:val="27383323"/>
    <w:rsid w:val="2778394C"/>
    <w:rsid w:val="285171A4"/>
    <w:rsid w:val="286E4D4F"/>
    <w:rsid w:val="28BD7A48"/>
    <w:rsid w:val="293D522B"/>
    <w:rsid w:val="297665B1"/>
    <w:rsid w:val="298444DE"/>
    <w:rsid w:val="2A721D4C"/>
    <w:rsid w:val="2B0F60DF"/>
    <w:rsid w:val="2B5249DF"/>
    <w:rsid w:val="2C1A3224"/>
    <w:rsid w:val="2C432C8D"/>
    <w:rsid w:val="2D15670F"/>
    <w:rsid w:val="2D5A6413"/>
    <w:rsid w:val="2D78789D"/>
    <w:rsid w:val="2DE57862"/>
    <w:rsid w:val="2E045F3A"/>
    <w:rsid w:val="2E6405A0"/>
    <w:rsid w:val="2E8E614B"/>
    <w:rsid w:val="2F4230EC"/>
    <w:rsid w:val="2F7C029E"/>
    <w:rsid w:val="2F98391B"/>
    <w:rsid w:val="2FCC3367"/>
    <w:rsid w:val="302F3016"/>
    <w:rsid w:val="307B44AD"/>
    <w:rsid w:val="30C711DB"/>
    <w:rsid w:val="30FE5C9F"/>
    <w:rsid w:val="319E48F7"/>
    <w:rsid w:val="32742875"/>
    <w:rsid w:val="333527C5"/>
    <w:rsid w:val="3353635E"/>
    <w:rsid w:val="336851BD"/>
    <w:rsid w:val="33AB3863"/>
    <w:rsid w:val="34120085"/>
    <w:rsid w:val="3422222F"/>
    <w:rsid w:val="342C582E"/>
    <w:rsid w:val="34A42225"/>
    <w:rsid w:val="350A469D"/>
    <w:rsid w:val="351D324F"/>
    <w:rsid w:val="35C61CFD"/>
    <w:rsid w:val="36277950"/>
    <w:rsid w:val="36820B8A"/>
    <w:rsid w:val="37B248FD"/>
    <w:rsid w:val="37C9667B"/>
    <w:rsid w:val="384669F0"/>
    <w:rsid w:val="398A5BF8"/>
    <w:rsid w:val="39D478B8"/>
    <w:rsid w:val="3A5A0C6C"/>
    <w:rsid w:val="3AC2368D"/>
    <w:rsid w:val="3AF30ACE"/>
    <w:rsid w:val="3B7874E6"/>
    <w:rsid w:val="3B944458"/>
    <w:rsid w:val="3B9C3C56"/>
    <w:rsid w:val="3BB17661"/>
    <w:rsid w:val="3BBC60A6"/>
    <w:rsid w:val="3C620033"/>
    <w:rsid w:val="3D001AC2"/>
    <w:rsid w:val="3D385C00"/>
    <w:rsid w:val="3D637A63"/>
    <w:rsid w:val="3DC7686A"/>
    <w:rsid w:val="3DD30DE2"/>
    <w:rsid w:val="3E637B39"/>
    <w:rsid w:val="3E9577F8"/>
    <w:rsid w:val="3EA330BF"/>
    <w:rsid w:val="3EBF1A09"/>
    <w:rsid w:val="3F161F71"/>
    <w:rsid w:val="3FF577F4"/>
    <w:rsid w:val="40154958"/>
    <w:rsid w:val="40481D0D"/>
    <w:rsid w:val="405D5B83"/>
    <w:rsid w:val="406D3E12"/>
    <w:rsid w:val="41894A0C"/>
    <w:rsid w:val="421C0B46"/>
    <w:rsid w:val="42CD6DEA"/>
    <w:rsid w:val="43643AB0"/>
    <w:rsid w:val="43923B90"/>
    <w:rsid w:val="43B70CD1"/>
    <w:rsid w:val="43D332E7"/>
    <w:rsid w:val="4410479D"/>
    <w:rsid w:val="44811C48"/>
    <w:rsid w:val="44C94939"/>
    <w:rsid w:val="44DE6E93"/>
    <w:rsid w:val="451C3223"/>
    <w:rsid w:val="457F2762"/>
    <w:rsid w:val="45B147A1"/>
    <w:rsid w:val="45CC50A2"/>
    <w:rsid w:val="46793FD1"/>
    <w:rsid w:val="46853538"/>
    <w:rsid w:val="46F64465"/>
    <w:rsid w:val="47513B84"/>
    <w:rsid w:val="475F1FDB"/>
    <w:rsid w:val="47764260"/>
    <w:rsid w:val="487B47DE"/>
    <w:rsid w:val="497F0830"/>
    <w:rsid w:val="49AA39E1"/>
    <w:rsid w:val="49D97E23"/>
    <w:rsid w:val="49DE1FF1"/>
    <w:rsid w:val="4A0871AD"/>
    <w:rsid w:val="4A743FEF"/>
    <w:rsid w:val="4AA2290B"/>
    <w:rsid w:val="4AA601C2"/>
    <w:rsid w:val="4ADE2588"/>
    <w:rsid w:val="4B902898"/>
    <w:rsid w:val="4BAC7EBB"/>
    <w:rsid w:val="4BF058F8"/>
    <w:rsid w:val="4C8B76AC"/>
    <w:rsid w:val="4CE948F5"/>
    <w:rsid w:val="4D0168EF"/>
    <w:rsid w:val="4D2942E6"/>
    <w:rsid w:val="4DC077B7"/>
    <w:rsid w:val="4E1522C2"/>
    <w:rsid w:val="4E306692"/>
    <w:rsid w:val="4E465CA3"/>
    <w:rsid w:val="4E6955F2"/>
    <w:rsid w:val="4EC41BA7"/>
    <w:rsid w:val="4EC53B34"/>
    <w:rsid w:val="50203244"/>
    <w:rsid w:val="51F223CA"/>
    <w:rsid w:val="528A0854"/>
    <w:rsid w:val="52A05A32"/>
    <w:rsid w:val="52E956CD"/>
    <w:rsid w:val="53D63625"/>
    <w:rsid w:val="543F00D8"/>
    <w:rsid w:val="549E2395"/>
    <w:rsid w:val="552C4101"/>
    <w:rsid w:val="55592760"/>
    <w:rsid w:val="55E95892"/>
    <w:rsid w:val="566E388E"/>
    <w:rsid w:val="56C63E25"/>
    <w:rsid w:val="56FA587C"/>
    <w:rsid w:val="57030BD5"/>
    <w:rsid w:val="574865E8"/>
    <w:rsid w:val="57883B27"/>
    <w:rsid w:val="57DA5C9F"/>
    <w:rsid w:val="5853793A"/>
    <w:rsid w:val="58AE459A"/>
    <w:rsid w:val="58B62204"/>
    <w:rsid w:val="590649AC"/>
    <w:rsid w:val="594433C0"/>
    <w:rsid w:val="59645264"/>
    <w:rsid w:val="5A2279A0"/>
    <w:rsid w:val="5AAD470B"/>
    <w:rsid w:val="5AC32B55"/>
    <w:rsid w:val="5B5B2B5B"/>
    <w:rsid w:val="5B897884"/>
    <w:rsid w:val="5BD05A60"/>
    <w:rsid w:val="5C4A2B15"/>
    <w:rsid w:val="5C5044CE"/>
    <w:rsid w:val="5C6B200B"/>
    <w:rsid w:val="5D4B2344"/>
    <w:rsid w:val="5D5969CE"/>
    <w:rsid w:val="5E604C26"/>
    <w:rsid w:val="5F7C32D2"/>
    <w:rsid w:val="6106379C"/>
    <w:rsid w:val="614C2579"/>
    <w:rsid w:val="61A644C1"/>
    <w:rsid w:val="62A83F60"/>
    <w:rsid w:val="62DF26A5"/>
    <w:rsid w:val="62EF1E79"/>
    <w:rsid w:val="638C50BD"/>
    <w:rsid w:val="639224E3"/>
    <w:rsid w:val="63975993"/>
    <w:rsid w:val="63F51428"/>
    <w:rsid w:val="63F773CC"/>
    <w:rsid w:val="641F7AB2"/>
    <w:rsid w:val="66157FDD"/>
    <w:rsid w:val="661728E0"/>
    <w:rsid w:val="66311A46"/>
    <w:rsid w:val="66A345C3"/>
    <w:rsid w:val="67311DA8"/>
    <w:rsid w:val="679A01CE"/>
    <w:rsid w:val="679C2918"/>
    <w:rsid w:val="681B52CA"/>
    <w:rsid w:val="682253DD"/>
    <w:rsid w:val="68266ED7"/>
    <w:rsid w:val="686F6E01"/>
    <w:rsid w:val="68EF4B15"/>
    <w:rsid w:val="6A194F43"/>
    <w:rsid w:val="6A6B2B86"/>
    <w:rsid w:val="6B50385C"/>
    <w:rsid w:val="6CF0404C"/>
    <w:rsid w:val="6D8455BA"/>
    <w:rsid w:val="6E2613BE"/>
    <w:rsid w:val="6E843F52"/>
    <w:rsid w:val="6EE07CD7"/>
    <w:rsid w:val="6F001B5B"/>
    <w:rsid w:val="6F154B2D"/>
    <w:rsid w:val="6F221F2F"/>
    <w:rsid w:val="6F2968A7"/>
    <w:rsid w:val="6F3F4504"/>
    <w:rsid w:val="6FFF67E4"/>
    <w:rsid w:val="71D21EFE"/>
    <w:rsid w:val="71D62D16"/>
    <w:rsid w:val="721C3014"/>
    <w:rsid w:val="721E46BD"/>
    <w:rsid w:val="723914F7"/>
    <w:rsid w:val="72AB7677"/>
    <w:rsid w:val="73057E05"/>
    <w:rsid w:val="731E6F21"/>
    <w:rsid w:val="73306456"/>
    <w:rsid w:val="73467A28"/>
    <w:rsid w:val="736B4AD2"/>
    <w:rsid w:val="73B057E9"/>
    <w:rsid w:val="73BC418E"/>
    <w:rsid w:val="73DF4511"/>
    <w:rsid w:val="752D5343"/>
    <w:rsid w:val="75A86FF9"/>
    <w:rsid w:val="75B50E95"/>
    <w:rsid w:val="76166481"/>
    <w:rsid w:val="776E5FF7"/>
    <w:rsid w:val="777D291D"/>
    <w:rsid w:val="77A86B72"/>
    <w:rsid w:val="77EB7DB5"/>
    <w:rsid w:val="78BE5FE3"/>
    <w:rsid w:val="78FF74DF"/>
    <w:rsid w:val="793A6280"/>
    <w:rsid w:val="793B1F88"/>
    <w:rsid w:val="79570BE0"/>
    <w:rsid w:val="795F117B"/>
    <w:rsid w:val="79A33AD2"/>
    <w:rsid w:val="7A4C205D"/>
    <w:rsid w:val="7AA32C1A"/>
    <w:rsid w:val="7ACF0C4A"/>
    <w:rsid w:val="7B1F73F5"/>
    <w:rsid w:val="7B5178B1"/>
    <w:rsid w:val="7B6B2277"/>
    <w:rsid w:val="7B93678C"/>
    <w:rsid w:val="7BB53769"/>
    <w:rsid w:val="7BE1474D"/>
    <w:rsid w:val="7C056D62"/>
    <w:rsid w:val="7CBF44CE"/>
    <w:rsid w:val="7CE7227B"/>
    <w:rsid w:val="7CEC286B"/>
    <w:rsid w:val="7D502D5B"/>
    <w:rsid w:val="7E1F3C97"/>
    <w:rsid w:val="7F5114BE"/>
    <w:rsid w:val="7FEA36DB"/>
    <w:rsid w:val="7FF57D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1"/>
      <w:lang w:val="en-US" w:eastAsia="zh-CN" w:bidi="ar-SA"/>
    </w:rPr>
  </w:style>
  <w:style w:type="paragraph" w:styleId="2">
    <w:name w:val="heading 1"/>
    <w:basedOn w:val="1"/>
    <w:next w:val="1"/>
    <w:link w:val="42"/>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3"/>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4"/>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5"/>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6"/>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7"/>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8"/>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9"/>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0"/>
    <w:unhideWhenUsed/>
    <w:qFormat/>
    <w:uiPriority w:val="9"/>
    <w:pPr>
      <w:keepNext/>
      <w:keepLines/>
      <w:spacing w:before="320" w:after="200"/>
      <w:outlineLvl w:val="8"/>
    </w:pPr>
    <w:rPr>
      <w:rFonts w:ascii="Arial" w:hAnsi="Arial" w:eastAsia="Arial" w:cs="Arial"/>
      <w:i/>
      <w:iCs/>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semiHidden/>
    <w:unhideWhenUsed/>
    <w:qFormat/>
    <w:uiPriority w:val="99"/>
    <w:pPr>
      <w:jc w:val="left"/>
    </w:pPr>
  </w:style>
  <w:style w:type="paragraph" w:styleId="14">
    <w:name w:val="Body Text"/>
    <w:basedOn w:val="1"/>
    <w:link w:val="202"/>
    <w:unhideWhenUsed/>
    <w:qFormat/>
    <w:uiPriority w:val="0"/>
    <w:rPr>
      <w:rFonts w:hint="eastAsia" w:ascii="仿宋_GB2312" w:hAnsi="Arial" w:eastAsia="仿宋_GB2312"/>
      <w:kern w:val="72"/>
      <w:sz w:val="32"/>
      <w:szCs w:val="84"/>
    </w:rPr>
  </w:style>
  <w:style w:type="paragraph" w:styleId="15">
    <w:name w:val="Block Text"/>
    <w:basedOn w:val="1"/>
    <w:qFormat/>
    <w:uiPriority w:val="0"/>
    <w:pPr>
      <w:snapToGrid w:val="0"/>
      <w:ind w:left="1440" w:right="27"/>
    </w:pPr>
    <w:rPr>
      <w:rFonts w:eastAsia="全真楷書"/>
      <w:sz w:val="24"/>
      <w:szCs w:val="20"/>
      <w:lang w:eastAsia="zh-TW"/>
    </w:r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Plain Text"/>
    <w:basedOn w:val="1"/>
    <w:link w:val="286"/>
    <w:unhideWhenUsed/>
    <w:qFormat/>
    <w:uiPriority w:val="0"/>
    <w:rPr>
      <w:rFonts w:hint="eastAsia" w:ascii="宋体" w:hAnsi="Courier New"/>
      <w:szCs w:val="22"/>
    </w:rPr>
  </w:style>
  <w:style w:type="paragraph" w:styleId="19">
    <w:name w:val="toc 8"/>
    <w:basedOn w:val="1"/>
    <w:next w:val="1"/>
    <w:unhideWhenUsed/>
    <w:qFormat/>
    <w:uiPriority w:val="39"/>
    <w:pPr>
      <w:spacing w:after="57"/>
      <w:ind w:left="1984"/>
    </w:pPr>
  </w:style>
  <w:style w:type="paragraph" w:styleId="20">
    <w:name w:val="endnote text"/>
    <w:basedOn w:val="1"/>
    <w:link w:val="188"/>
    <w:semiHidden/>
    <w:unhideWhenUsed/>
    <w:qFormat/>
    <w:uiPriority w:val="99"/>
    <w:rPr>
      <w:sz w:val="20"/>
    </w:rPr>
  </w:style>
  <w:style w:type="paragraph" w:styleId="21">
    <w:name w:val="Balloon Text"/>
    <w:basedOn w:val="1"/>
    <w:link w:val="287"/>
    <w:semiHidden/>
    <w:unhideWhenUsed/>
    <w:qFormat/>
    <w:uiPriority w:val="99"/>
    <w:rPr>
      <w:sz w:val="18"/>
      <w:szCs w:val="18"/>
    </w:rPr>
  </w:style>
  <w:style w:type="paragraph" w:styleId="22">
    <w:name w:val="footer"/>
    <w:basedOn w:val="1"/>
    <w:link w:val="61"/>
    <w:unhideWhenUsed/>
    <w:qFormat/>
    <w:uiPriority w:val="99"/>
    <w:pPr>
      <w:tabs>
        <w:tab w:val="center" w:pos="7143"/>
        <w:tab w:val="right" w:pos="14287"/>
      </w:tabs>
    </w:pPr>
  </w:style>
  <w:style w:type="paragraph" w:styleId="23">
    <w:name w:val="header"/>
    <w:basedOn w:val="1"/>
    <w:link w:val="59"/>
    <w:unhideWhenUsed/>
    <w:qFormat/>
    <w:uiPriority w:val="99"/>
    <w:pPr>
      <w:tabs>
        <w:tab w:val="center" w:pos="7143"/>
        <w:tab w:val="right" w:pos="14287"/>
      </w:tabs>
    </w:pPr>
  </w:style>
  <w:style w:type="paragraph" w:styleId="24">
    <w:name w:val="toc 1"/>
    <w:basedOn w:val="1"/>
    <w:next w:val="1"/>
    <w:unhideWhenUsed/>
    <w:qFormat/>
    <w:uiPriority w:val="39"/>
    <w:pPr>
      <w:spacing w:after="57"/>
    </w:pPr>
  </w:style>
  <w:style w:type="paragraph" w:styleId="25">
    <w:name w:val="toc 4"/>
    <w:basedOn w:val="1"/>
    <w:next w:val="1"/>
    <w:unhideWhenUsed/>
    <w:qFormat/>
    <w:uiPriority w:val="39"/>
    <w:pPr>
      <w:spacing w:after="57"/>
      <w:ind w:left="850"/>
    </w:pPr>
  </w:style>
  <w:style w:type="paragraph" w:styleId="26">
    <w:name w:val="Subtitle"/>
    <w:basedOn w:val="1"/>
    <w:next w:val="1"/>
    <w:link w:val="54"/>
    <w:qFormat/>
    <w:uiPriority w:val="11"/>
    <w:pPr>
      <w:spacing w:before="200" w:after="200"/>
    </w:pPr>
    <w:rPr>
      <w:sz w:val="24"/>
      <w:szCs w:val="24"/>
    </w:rPr>
  </w:style>
  <w:style w:type="paragraph" w:styleId="27">
    <w:name w:val="footnote text"/>
    <w:basedOn w:val="1"/>
    <w:link w:val="187"/>
    <w:semiHidden/>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table of figures"/>
    <w:basedOn w:val="1"/>
    <w:next w:val="1"/>
    <w:unhideWhenUsed/>
    <w:qFormat/>
    <w:uiPriority w:val="99"/>
  </w:style>
  <w:style w:type="paragraph" w:styleId="30">
    <w:name w:val="toc 2"/>
    <w:basedOn w:val="1"/>
    <w:next w:val="1"/>
    <w:unhideWhenUsed/>
    <w:qFormat/>
    <w:uiPriority w:val="39"/>
    <w:pPr>
      <w:spacing w:after="57"/>
      <w:ind w:left="283"/>
    </w:pPr>
  </w:style>
  <w:style w:type="paragraph" w:styleId="31">
    <w:name w:val="toc 9"/>
    <w:basedOn w:val="1"/>
    <w:next w:val="1"/>
    <w:unhideWhenUsed/>
    <w:qFormat/>
    <w:uiPriority w:val="39"/>
    <w:pPr>
      <w:spacing w:after="57"/>
      <w:ind w:left="2268"/>
    </w:pPr>
  </w:style>
  <w:style w:type="paragraph" w:styleId="32">
    <w:name w:val="Title"/>
    <w:basedOn w:val="1"/>
    <w:next w:val="1"/>
    <w:link w:val="53"/>
    <w:qFormat/>
    <w:uiPriority w:val="10"/>
    <w:pPr>
      <w:spacing w:before="300" w:after="200"/>
      <w:contextualSpacing/>
    </w:pPr>
    <w:rPr>
      <w:sz w:val="48"/>
      <w:szCs w:val="48"/>
    </w:rPr>
  </w:style>
  <w:style w:type="table" w:styleId="34">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Strong"/>
    <w:basedOn w:val="35"/>
    <w:qFormat/>
    <w:uiPriority w:val="22"/>
    <w:rPr>
      <w:b/>
    </w:rPr>
  </w:style>
  <w:style w:type="character" w:styleId="37">
    <w:name w:val="endnote reference"/>
    <w:semiHidden/>
    <w:unhideWhenUsed/>
    <w:qFormat/>
    <w:uiPriority w:val="99"/>
    <w:rPr>
      <w:vertAlign w:val="superscript"/>
    </w:rPr>
  </w:style>
  <w:style w:type="character" w:styleId="38">
    <w:name w:val="Hyperlink"/>
    <w:unhideWhenUsed/>
    <w:qFormat/>
    <w:uiPriority w:val="99"/>
    <w:rPr>
      <w:color w:val="0000FF" w:themeColor="hyperlink"/>
      <w:u w:val="single"/>
      <w14:textFill>
        <w14:solidFill>
          <w14:schemeClr w14:val="hlink"/>
        </w14:solidFill>
      </w14:textFill>
    </w:rPr>
  </w:style>
  <w:style w:type="character" w:styleId="39">
    <w:name w:val="annotation reference"/>
    <w:unhideWhenUsed/>
    <w:qFormat/>
    <w:uiPriority w:val="99"/>
    <w:rPr>
      <w:sz w:val="21"/>
      <w:szCs w:val="21"/>
    </w:rPr>
  </w:style>
  <w:style w:type="character" w:styleId="40">
    <w:name w:val="footnote reference"/>
    <w:unhideWhenUsed/>
    <w:qFormat/>
    <w:uiPriority w:val="99"/>
    <w:rPr>
      <w:vertAlign w:val="superscript"/>
    </w:rPr>
  </w:style>
  <w:style w:type="paragraph" w:customStyle="1" w:styleId="41">
    <w:name w:val="正文文本1"/>
    <w:basedOn w:val="1"/>
    <w:qFormat/>
    <w:uiPriority w:val="0"/>
    <w:rPr>
      <w:rFonts w:ascii="楷体_GB2312" w:hAnsi="Arial" w:eastAsia="楷体_GB2312"/>
      <w:sz w:val="28"/>
      <w:szCs w:val="28"/>
    </w:rPr>
  </w:style>
  <w:style w:type="character" w:customStyle="1" w:styleId="42">
    <w:name w:val="标题 1 Char"/>
    <w:link w:val="2"/>
    <w:qFormat/>
    <w:uiPriority w:val="9"/>
    <w:rPr>
      <w:rFonts w:ascii="Arial" w:hAnsi="Arial" w:eastAsia="Arial" w:cs="Arial"/>
      <w:sz w:val="40"/>
      <w:szCs w:val="40"/>
    </w:rPr>
  </w:style>
  <w:style w:type="character" w:customStyle="1" w:styleId="43">
    <w:name w:val="标题 2 Char"/>
    <w:link w:val="3"/>
    <w:qFormat/>
    <w:uiPriority w:val="9"/>
    <w:rPr>
      <w:rFonts w:ascii="Arial" w:hAnsi="Arial" w:eastAsia="Arial" w:cs="Arial"/>
      <w:sz w:val="34"/>
    </w:rPr>
  </w:style>
  <w:style w:type="character" w:customStyle="1" w:styleId="44">
    <w:name w:val="标题 3 Char"/>
    <w:link w:val="4"/>
    <w:qFormat/>
    <w:uiPriority w:val="9"/>
    <w:rPr>
      <w:rFonts w:ascii="Arial" w:hAnsi="Arial" w:eastAsia="Arial" w:cs="Arial"/>
      <w:sz w:val="30"/>
      <w:szCs w:val="30"/>
    </w:rPr>
  </w:style>
  <w:style w:type="character" w:customStyle="1" w:styleId="45">
    <w:name w:val="标题 4 Char"/>
    <w:link w:val="5"/>
    <w:qFormat/>
    <w:uiPriority w:val="9"/>
    <w:rPr>
      <w:rFonts w:ascii="Arial" w:hAnsi="Arial" w:eastAsia="Arial" w:cs="Arial"/>
      <w:b/>
      <w:bCs/>
      <w:sz w:val="26"/>
      <w:szCs w:val="26"/>
    </w:rPr>
  </w:style>
  <w:style w:type="character" w:customStyle="1" w:styleId="46">
    <w:name w:val="标题 5 Char"/>
    <w:link w:val="6"/>
    <w:qFormat/>
    <w:uiPriority w:val="9"/>
    <w:rPr>
      <w:rFonts w:ascii="Arial" w:hAnsi="Arial" w:eastAsia="Arial" w:cs="Arial"/>
      <w:b/>
      <w:bCs/>
      <w:sz w:val="24"/>
      <w:szCs w:val="24"/>
    </w:rPr>
  </w:style>
  <w:style w:type="character" w:customStyle="1" w:styleId="47">
    <w:name w:val="标题 6 Char"/>
    <w:link w:val="7"/>
    <w:qFormat/>
    <w:uiPriority w:val="9"/>
    <w:rPr>
      <w:rFonts w:ascii="Arial" w:hAnsi="Arial" w:eastAsia="Arial" w:cs="Arial"/>
      <w:b/>
      <w:bCs/>
      <w:sz w:val="22"/>
      <w:szCs w:val="22"/>
    </w:rPr>
  </w:style>
  <w:style w:type="character" w:customStyle="1" w:styleId="48">
    <w:name w:val="标题 7 Char"/>
    <w:link w:val="8"/>
    <w:qFormat/>
    <w:uiPriority w:val="9"/>
    <w:rPr>
      <w:rFonts w:ascii="Arial" w:hAnsi="Arial" w:eastAsia="Arial" w:cs="Arial"/>
      <w:b/>
      <w:bCs/>
      <w:i/>
      <w:iCs/>
      <w:sz w:val="22"/>
      <w:szCs w:val="22"/>
    </w:rPr>
  </w:style>
  <w:style w:type="character" w:customStyle="1" w:styleId="49">
    <w:name w:val="标题 8 Char"/>
    <w:link w:val="9"/>
    <w:qFormat/>
    <w:uiPriority w:val="9"/>
    <w:rPr>
      <w:rFonts w:ascii="Arial" w:hAnsi="Arial" w:eastAsia="Arial" w:cs="Arial"/>
      <w:i/>
      <w:iCs/>
      <w:sz w:val="22"/>
      <w:szCs w:val="22"/>
    </w:rPr>
  </w:style>
  <w:style w:type="character" w:customStyle="1" w:styleId="50">
    <w:name w:val="标题 9 Char"/>
    <w:link w:val="10"/>
    <w:qFormat/>
    <w:uiPriority w:val="9"/>
    <w:rPr>
      <w:rFonts w:ascii="Arial" w:hAnsi="Arial" w:eastAsia="Arial" w:cs="Arial"/>
      <w:i/>
      <w:iCs/>
      <w:sz w:val="21"/>
      <w:szCs w:val="21"/>
    </w:rPr>
  </w:style>
  <w:style w:type="paragraph" w:styleId="51">
    <w:name w:val="List Paragraph"/>
    <w:basedOn w:val="1"/>
    <w:qFormat/>
    <w:uiPriority w:val="34"/>
    <w:pPr>
      <w:ind w:left="720"/>
      <w:contextualSpacing/>
    </w:pPr>
  </w:style>
  <w:style w:type="paragraph" w:styleId="52">
    <w:name w:val="No Spacing"/>
    <w:qFormat/>
    <w:uiPriority w:val="1"/>
    <w:rPr>
      <w:rFonts w:ascii="Times New Roman" w:hAnsi="Times New Roman" w:eastAsia="宋体" w:cs="Times New Roman"/>
      <w:lang w:val="en-US" w:eastAsia="zh-CN" w:bidi="ar-SA"/>
    </w:rPr>
  </w:style>
  <w:style w:type="character" w:customStyle="1" w:styleId="53">
    <w:name w:val="标题 Char"/>
    <w:link w:val="32"/>
    <w:qFormat/>
    <w:uiPriority w:val="10"/>
    <w:rPr>
      <w:sz w:val="48"/>
      <w:szCs w:val="48"/>
    </w:rPr>
  </w:style>
  <w:style w:type="character" w:customStyle="1" w:styleId="54">
    <w:name w:val="副标题 Char"/>
    <w:link w:val="26"/>
    <w:qFormat/>
    <w:uiPriority w:val="11"/>
    <w:rPr>
      <w:sz w:val="24"/>
      <w:szCs w:val="24"/>
    </w:rPr>
  </w:style>
  <w:style w:type="paragraph" w:styleId="55">
    <w:name w:val="Quote"/>
    <w:basedOn w:val="1"/>
    <w:next w:val="1"/>
    <w:link w:val="56"/>
    <w:qFormat/>
    <w:uiPriority w:val="29"/>
    <w:pPr>
      <w:ind w:left="720" w:right="720"/>
    </w:pPr>
    <w:rPr>
      <w:i/>
    </w:rPr>
  </w:style>
  <w:style w:type="character" w:customStyle="1" w:styleId="56">
    <w:name w:val="引用 Char"/>
    <w:link w:val="55"/>
    <w:qFormat/>
    <w:uiPriority w:val="29"/>
    <w:rPr>
      <w:i/>
    </w:rPr>
  </w:style>
  <w:style w:type="paragraph" w:styleId="57">
    <w:name w:val="Intense Quote"/>
    <w:basedOn w:val="1"/>
    <w:next w:val="1"/>
    <w:link w:val="5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8">
    <w:name w:val="明显引用 Char"/>
    <w:link w:val="57"/>
    <w:qFormat/>
    <w:uiPriority w:val="30"/>
    <w:rPr>
      <w:i/>
    </w:rPr>
  </w:style>
  <w:style w:type="character" w:customStyle="1" w:styleId="59">
    <w:name w:val="页眉 Char"/>
    <w:link w:val="23"/>
    <w:qFormat/>
    <w:uiPriority w:val="99"/>
  </w:style>
  <w:style w:type="character" w:customStyle="1" w:styleId="60">
    <w:name w:val="Footer Char"/>
    <w:qFormat/>
    <w:uiPriority w:val="99"/>
  </w:style>
  <w:style w:type="character" w:customStyle="1" w:styleId="61">
    <w:name w:val="页脚 Char"/>
    <w:link w:val="22"/>
    <w:qFormat/>
    <w:uiPriority w:val="99"/>
  </w:style>
  <w:style w:type="table" w:customStyle="1" w:styleId="62">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3">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4">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5">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9">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0">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1">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2">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3">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4">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5">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4">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1">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7">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8">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9">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0">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1">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2">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3">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5">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6">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07">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8">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9">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0">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2">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3">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4">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5">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6">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7">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8">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9">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0">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1">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2">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3">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4">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5">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6">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7">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8">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9">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0">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1">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2">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3">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4">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5">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6">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7">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8">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0">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1">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2">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3">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4">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5">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6">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7">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8">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9">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0">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1">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2">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3">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4">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6">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8">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9">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0">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1">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2">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3">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4">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5">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6">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5">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6">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7">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8">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9">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0">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1">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2">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3">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4">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5">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6">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7">
    <w:name w:val="脚注文本 Char"/>
    <w:link w:val="27"/>
    <w:qFormat/>
    <w:uiPriority w:val="99"/>
    <w:rPr>
      <w:sz w:val="18"/>
    </w:rPr>
  </w:style>
  <w:style w:type="character" w:customStyle="1" w:styleId="188">
    <w:name w:val="尾注文本 Char"/>
    <w:link w:val="20"/>
    <w:qFormat/>
    <w:uiPriority w:val="99"/>
    <w:rPr>
      <w:sz w:val="20"/>
    </w:rPr>
  </w:style>
  <w:style w:type="paragraph" w:customStyle="1" w:styleId="189">
    <w:name w:val="TOC 标题1"/>
    <w:unhideWhenUsed/>
    <w:qFormat/>
    <w:uiPriority w:val="39"/>
    <w:rPr>
      <w:rFonts w:ascii="Times New Roman" w:hAnsi="Times New Roman" w:eastAsia="宋体" w:cs="Times New Roman"/>
      <w:lang w:val="en-US" w:eastAsia="zh-CN" w:bidi="ar-SA"/>
    </w:rPr>
  </w:style>
  <w:style w:type="paragraph" w:customStyle="1" w:styleId="190">
    <w:name w:val="标题 11"/>
    <w:basedOn w:val="1"/>
    <w:next w:val="1"/>
    <w:qFormat/>
    <w:uiPriority w:val="0"/>
    <w:pPr>
      <w:keepNext/>
      <w:jc w:val="center"/>
      <w:outlineLvl w:val="0"/>
    </w:pPr>
    <w:rPr>
      <w:rFonts w:ascii="楷体_GB2312" w:eastAsia="楷体_GB2312"/>
      <w:sz w:val="28"/>
      <w:szCs w:val="28"/>
    </w:rPr>
  </w:style>
  <w:style w:type="paragraph" w:customStyle="1" w:styleId="191">
    <w:name w:val="标题 21"/>
    <w:basedOn w:val="1"/>
    <w:next w:val="1"/>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92">
    <w:name w:val="标题 31"/>
    <w:basedOn w:val="1"/>
    <w:next w:val="193"/>
    <w:qFormat/>
    <w:uiPriority w:val="0"/>
    <w:pPr>
      <w:keepNext/>
      <w:keepLines/>
      <w:spacing w:before="260" w:after="260" w:line="416" w:lineRule="auto"/>
      <w:outlineLvl w:val="2"/>
    </w:pPr>
    <w:rPr>
      <w:b/>
      <w:bCs/>
      <w:sz w:val="32"/>
      <w:szCs w:val="32"/>
    </w:rPr>
  </w:style>
  <w:style w:type="paragraph" w:customStyle="1" w:styleId="193">
    <w:name w:val="正文缩进1"/>
    <w:basedOn w:val="1"/>
    <w:link w:val="203"/>
    <w:qFormat/>
    <w:uiPriority w:val="0"/>
    <w:pPr>
      <w:ind w:firstLine="420"/>
    </w:pPr>
  </w:style>
  <w:style w:type="paragraph" w:customStyle="1" w:styleId="194">
    <w:name w:val="标题 41"/>
    <w:basedOn w:val="1"/>
    <w:next w:val="1"/>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195">
    <w:name w:val="标题 51"/>
    <w:basedOn w:val="1"/>
    <w:next w:val="193"/>
    <w:qFormat/>
    <w:uiPriority w:val="0"/>
    <w:pPr>
      <w:keepNext/>
      <w:outlineLvl w:val="4"/>
    </w:pPr>
    <w:rPr>
      <w:rFonts w:ascii="宋体"/>
      <w:color w:val="000000"/>
      <w:sz w:val="28"/>
      <w:szCs w:val="28"/>
    </w:rPr>
  </w:style>
  <w:style w:type="paragraph" w:customStyle="1" w:styleId="196">
    <w:name w:val="标题 61"/>
    <w:basedOn w:val="1"/>
    <w:next w:val="1"/>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197">
    <w:name w:val="标题 71"/>
    <w:basedOn w:val="1"/>
    <w:next w:val="1"/>
    <w:qFormat/>
    <w:uiPriority w:val="0"/>
    <w:pPr>
      <w:keepNext/>
      <w:keepLines/>
      <w:numPr>
        <w:ilvl w:val="6"/>
        <w:numId w:val="1"/>
      </w:numPr>
      <w:spacing w:before="240" w:after="64" w:line="320" w:lineRule="auto"/>
      <w:outlineLvl w:val="6"/>
    </w:pPr>
    <w:rPr>
      <w:b/>
      <w:bCs/>
      <w:sz w:val="24"/>
      <w:szCs w:val="24"/>
    </w:rPr>
  </w:style>
  <w:style w:type="paragraph" w:customStyle="1" w:styleId="198">
    <w:name w:val="标题 81"/>
    <w:basedOn w:val="1"/>
    <w:next w:val="1"/>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199">
    <w:name w:val="标题 91"/>
    <w:basedOn w:val="1"/>
    <w:next w:val="1"/>
    <w:qFormat/>
    <w:uiPriority w:val="0"/>
    <w:pPr>
      <w:keepNext/>
      <w:keepLines/>
      <w:numPr>
        <w:ilvl w:val="8"/>
        <w:numId w:val="1"/>
      </w:numPr>
      <w:spacing w:before="240" w:after="64" w:line="320" w:lineRule="auto"/>
      <w:outlineLvl w:val="8"/>
    </w:pPr>
    <w:rPr>
      <w:rFonts w:ascii="Arial" w:hAnsi="Arial" w:eastAsia="黑体"/>
    </w:rPr>
  </w:style>
  <w:style w:type="character" w:customStyle="1" w:styleId="200">
    <w:name w:val="默认段落字体1"/>
    <w:unhideWhenUsed/>
    <w:qFormat/>
    <w:uiPriority w:val="1"/>
  </w:style>
  <w:style w:type="table" w:customStyle="1" w:styleId="201">
    <w:name w:val="普通表格1"/>
    <w:unhideWhenUsed/>
    <w:qFormat/>
    <w:uiPriority w:val="99"/>
    <w:tblPr>
      <w:tblCellMar>
        <w:top w:w="0" w:type="dxa"/>
        <w:left w:w="0" w:type="dxa"/>
        <w:bottom w:w="0" w:type="dxa"/>
        <w:right w:w="0" w:type="dxa"/>
      </w:tblCellMar>
    </w:tblPr>
  </w:style>
  <w:style w:type="character" w:customStyle="1" w:styleId="202">
    <w:name w:val="正文文本 Char"/>
    <w:basedOn w:val="35"/>
    <w:link w:val="14"/>
    <w:unhideWhenUsed/>
    <w:qFormat/>
    <w:uiPriority w:val="99"/>
    <w:rPr>
      <w:rFonts w:cs="Times New Roman"/>
      <w:sz w:val="21"/>
      <w:szCs w:val="21"/>
    </w:rPr>
  </w:style>
  <w:style w:type="character" w:customStyle="1" w:styleId="203">
    <w:name w:val="正文缩进 Char"/>
    <w:link w:val="193"/>
    <w:qFormat/>
    <w:uiPriority w:val="0"/>
    <w:rPr>
      <w:sz w:val="21"/>
      <w:szCs w:val="21"/>
    </w:rPr>
  </w:style>
  <w:style w:type="paragraph" w:customStyle="1" w:styleId="204">
    <w:name w:val="列表 31"/>
    <w:basedOn w:val="1"/>
    <w:qFormat/>
    <w:uiPriority w:val="0"/>
    <w:pPr>
      <w:ind w:left="100" w:hanging="200"/>
    </w:pPr>
  </w:style>
  <w:style w:type="paragraph" w:customStyle="1" w:styleId="205">
    <w:name w:val="目录 71"/>
    <w:basedOn w:val="1"/>
    <w:next w:val="1"/>
    <w:semiHidden/>
    <w:qFormat/>
    <w:uiPriority w:val="0"/>
    <w:pPr>
      <w:ind w:left="1260"/>
      <w:jc w:val="left"/>
    </w:pPr>
  </w:style>
  <w:style w:type="paragraph" w:customStyle="1" w:styleId="206">
    <w:name w:val="文档结构图1"/>
    <w:basedOn w:val="1"/>
    <w:semiHidden/>
    <w:qFormat/>
    <w:uiPriority w:val="0"/>
    <w:pPr>
      <w:shd w:val="clear" w:color="auto" w:fill="000080"/>
    </w:pPr>
  </w:style>
  <w:style w:type="paragraph" w:customStyle="1" w:styleId="207">
    <w:name w:val="批注文字1"/>
    <w:basedOn w:val="1"/>
    <w:link w:val="208"/>
    <w:semiHidden/>
    <w:qFormat/>
    <w:uiPriority w:val="0"/>
    <w:pPr>
      <w:jc w:val="left"/>
    </w:pPr>
  </w:style>
  <w:style w:type="character" w:customStyle="1" w:styleId="208">
    <w:name w:val="批注文字 Char"/>
    <w:link w:val="207"/>
    <w:unhideWhenUsed/>
    <w:qFormat/>
    <w:uiPriority w:val="0"/>
    <w:rPr>
      <w:rFonts w:cs="Times New Roman"/>
      <w:sz w:val="21"/>
      <w:szCs w:val="21"/>
    </w:rPr>
  </w:style>
  <w:style w:type="paragraph" w:customStyle="1" w:styleId="209">
    <w:name w:val="正文文本 31"/>
    <w:basedOn w:val="1"/>
    <w:qFormat/>
    <w:uiPriority w:val="0"/>
    <w:rPr>
      <w:rFonts w:ascii="仿宋_GB2312" w:hAnsi="Arial" w:eastAsia="仿宋_GB2312"/>
      <w:sz w:val="32"/>
      <w:szCs w:val="32"/>
    </w:rPr>
  </w:style>
  <w:style w:type="paragraph" w:customStyle="1" w:styleId="210">
    <w:name w:val="正文文本缩进1"/>
    <w:basedOn w:val="1"/>
    <w:qFormat/>
    <w:uiPriority w:val="0"/>
    <w:pPr>
      <w:ind w:firstLine="645"/>
    </w:pPr>
    <w:rPr>
      <w:rFonts w:ascii="楷体_GB2312" w:eastAsia="楷体_GB2312"/>
      <w:sz w:val="32"/>
      <w:szCs w:val="32"/>
    </w:rPr>
  </w:style>
  <w:style w:type="paragraph" w:customStyle="1" w:styleId="211">
    <w:name w:val="列表 21"/>
    <w:basedOn w:val="1"/>
    <w:qFormat/>
    <w:uiPriority w:val="0"/>
    <w:pPr>
      <w:ind w:left="100" w:hanging="200"/>
    </w:pPr>
  </w:style>
  <w:style w:type="paragraph" w:customStyle="1" w:styleId="212">
    <w:name w:val="索引 41"/>
    <w:basedOn w:val="1"/>
    <w:next w:val="1"/>
    <w:unhideWhenUsed/>
    <w:qFormat/>
    <w:uiPriority w:val="99"/>
    <w:pPr>
      <w:ind w:left="600"/>
    </w:pPr>
  </w:style>
  <w:style w:type="paragraph" w:customStyle="1" w:styleId="213">
    <w:name w:val="目录 51"/>
    <w:basedOn w:val="1"/>
    <w:next w:val="1"/>
    <w:semiHidden/>
    <w:qFormat/>
    <w:uiPriority w:val="0"/>
    <w:pPr>
      <w:ind w:left="840"/>
      <w:jc w:val="left"/>
    </w:pPr>
  </w:style>
  <w:style w:type="paragraph" w:customStyle="1" w:styleId="214">
    <w:name w:val="目录 31"/>
    <w:basedOn w:val="1"/>
    <w:next w:val="1"/>
    <w:semiHidden/>
    <w:qFormat/>
    <w:uiPriority w:val="0"/>
    <w:pPr>
      <w:ind w:left="420"/>
      <w:jc w:val="left"/>
    </w:pPr>
    <w:rPr>
      <w:i/>
      <w:iCs/>
      <w:szCs w:val="24"/>
    </w:rPr>
  </w:style>
  <w:style w:type="paragraph" w:customStyle="1" w:styleId="215">
    <w:name w:val="纯文本1"/>
    <w:basedOn w:val="1"/>
    <w:qFormat/>
    <w:uiPriority w:val="0"/>
    <w:rPr>
      <w:rFonts w:ascii="宋体" w:hAnsi="Courier New" w:cs="Courier New"/>
    </w:rPr>
  </w:style>
  <w:style w:type="paragraph" w:customStyle="1" w:styleId="216">
    <w:name w:val="目录 81"/>
    <w:basedOn w:val="1"/>
    <w:next w:val="1"/>
    <w:semiHidden/>
    <w:qFormat/>
    <w:uiPriority w:val="0"/>
    <w:pPr>
      <w:ind w:left="1470"/>
      <w:jc w:val="left"/>
    </w:pPr>
  </w:style>
  <w:style w:type="paragraph" w:customStyle="1" w:styleId="217">
    <w:name w:val="日期1"/>
    <w:basedOn w:val="1"/>
    <w:next w:val="1"/>
    <w:qFormat/>
    <w:uiPriority w:val="0"/>
    <w:rPr>
      <w:sz w:val="24"/>
      <w:szCs w:val="24"/>
    </w:rPr>
  </w:style>
  <w:style w:type="paragraph" w:customStyle="1" w:styleId="218">
    <w:name w:val="正文文本缩进 21"/>
    <w:basedOn w:val="1"/>
    <w:qFormat/>
    <w:uiPriority w:val="0"/>
    <w:pPr>
      <w:ind w:left="630" w:firstLine="645"/>
    </w:pPr>
    <w:rPr>
      <w:rFonts w:ascii="Arial" w:hAnsi="Arial" w:eastAsia="仿宋_GB2312" w:cs="Arial"/>
      <w:sz w:val="32"/>
      <w:szCs w:val="32"/>
    </w:rPr>
  </w:style>
  <w:style w:type="paragraph" w:customStyle="1" w:styleId="219">
    <w:name w:val="批注框文本1"/>
    <w:basedOn w:val="1"/>
    <w:semiHidden/>
    <w:qFormat/>
    <w:uiPriority w:val="0"/>
    <w:rPr>
      <w:sz w:val="18"/>
      <w:szCs w:val="18"/>
    </w:rPr>
  </w:style>
  <w:style w:type="paragraph" w:customStyle="1" w:styleId="220">
    <w:name w:val="页脚1"/>
    <w:basedOn w:val="1"/>
    <w:qFormat/>
    <w:uiPriority w:val="0"/>
    <w:pPr>
      <w:tabs>
        <w:tab w:val="center" w:pos="4153"/>
        <w:tab w:val="right" w:pos="8306"/>
      </w:tabs>
      <w:jc w:val="left"/>
    </w:pPr>
    <w:rPr>
      <w:sz w:val="18"/>
      <w:szCs w:val="18"/>
    </w:rPr>
  </w:style>
  <w:style w:type="paragraph" w:customStyle="1" w:styleId="221">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222">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23">
    <w:name w:val="目录 41"/>
    <w:basedOn w:val="1"/>
    <w:next w:val="1"/>
    <w:semiHidden/>
    <w:qFormat/>
    <w:uiPriority w:val="0"/>
    <w:pPr>
      <w:ind w:left="630"/>
      <w:jc w:val="left"/>
    </w:pPr>
  </w:style>
  <w:style w:type="paragraph" w:customStyle="1" w:styleId="224">
    <w:name w:val="列表1"/>
    <w:basedOn w:val="1"/>
    <w:qFormat/>
    <w:uiPriority w:val="0"/>
    <w:pPr>
      <w:ind w:left="200" w:hanging="200"/>
    </w:pPr>
  </w:style>
  <w:style w:type="paragraph" w:customStyle="1" w:styleId="225">
    <w:name w:val="目录 61"/>
    <w:basedOn w:val="1"/>
    <w:next w:val="1"/>
    <w:semiHidden/>
    <w:qFormat/>
    <w:uiPriority w:val="0"/>
    <w:pPr>
      <w:ind w:left="1050"/>
      <w:jc w:val="left"/>
    </w:pPr>
  </w:style>
  <w:style w:type="paragraph" w:customStyle="1" w:styleId="226">
    <w:name w:val="正文文本缩进 31"/>
    <w:basedOn w:val="1"/>
    <w:qFormat/>
    <w:uiPriority w:val="0"/>
    <w:pPr>
      <w:ind w:left="645" w:firstLine="645"/>
    </w:pPr>
    <w:rPr>
      <w:rFonts w:ascii="Arial" w:hAnsi="Arial" w:eastAsia="仿宋_GB2312" w:cs="Arial"/>
      <w:color w:val="FFFF00"/>
      <w:sz w:val="32"/>
      <w:szCs w:val="32"/>
    </w:rPr>
  </w:style>
  <w:style w:type="paragraph" w:customStyle="1" w:styleId="227">
    <w:name w:val="图表目录1"/>
    <w:basedOn w:val="1"/>
    <w:next w:val="1"/>
    <w:semiHidden/>
    <w:qFormat/>
    <w:uiPriority w:val="0"/>
    <w:pPr>
      <w:ind w:left="840" w:hanging="420"/>
    </w:pPr>
  </w:style>
  <w:style w:type="paragraph" w:customStyle="1" w:styleId="228">
    <w:name w:val="目录 21"/>
    <w:basedOn w:val="1"/>
    <w:next w:val="1"/>
    <w:semiHidden/>
    <w:qFormat/>
    <w:uiPriority w:val="0"/>
    <w:pPr>
      <w:ind w:left="210"/>
      <w:jc w:val="left"/>
    </w:pPr>
    <w:rPr>
      <w:smallCaps/>
      <w:szCs w:val="24"/>
    </w:rPr>
  </w:style>
  <w:style w:type="paragraph" w:customStyle="1" w:styleId="229">
    <w:name w:val="目录 91"/>
    <w:basedOn w:val="1"/>
    <w:next w:val="1"/>
    <w:semiHidden/>
    <w:qFormat/>
    <w:uiPriority w:val="0"/>
    <w:pPr>
      <w:ind w:left="1680"/>
      <w:jc w:val="left"/>
    </w:pPr>
  </w:style>
  <w:style w:type="paragraph" w:customStyle="1" w:styleId="230">
    <w:name w:val="正文文本 21"/>
    <w:basedOn w:val="1"/>
    <w:qFormat/>
    <w:uiPriority w:val="0"/>
    <w:pPr>
      <w:widowControl/>
      <w:jc w:val="center"/>
    </w:pPr>
    <w:rPr>
      <w:rFonts w:ascii="楷体_GB2312" w:eastAsia="楷体_GB2312"/>
      <w:sz w:val="28"/>
      <w:szCs w:val="28"/>
    </w:rPr>
  </w:style>
  <w:style w:type="paragraph" w:customStyle="1" w:styleId="231">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32">
    <w:name w:val="索引 11"/>
    <w:basedOn w:val="1"/>
    <w:next w:val="1"/>
    <w:semiHidden/>
    <w:qFormat/>
    <w:uiPriority w:val="0"/>
    <w:pPr>
      <w:spacing w:line="240" w:lineRule="atLeast"/>
    </w:pPr>
    <w:rPr>
      <w:b/>
      <w:bCs/>
    </w:rPr>
  </w:style>
  <w:style w:type="paragraph" w:customStyle="1" w:styleId="233">
    <w:name w:val="批注主题1"/>
    <w:basedOn w:val="207"/>
    <w:next w:val="207"/>
    <w:semiHidden/>
    <w:qFormat/>
    <w:uiPriority w:val="0"/>
    <w:rPr>
      <w:b/>
      <w:bCs/>
    </w:rPr>
  </w:style>
  <w:style w:type="paragraph" w:customStyle="1" w:styleId="234">
    <w:name w:val="正文首行缩进1"/>
    <w:basedOn w:val="41"/>
    <w:qFormat/>
    <w:uiPriority w:val="0"/>
    <w:pPr>
      <w:spacing w:line="360" w:lineRule="auto"/>
      <w:ind w:firstLine="200"/>
    </w:pPr>
    <w:rPr>
      <w:rFonts w:ascii="仿宋_GB2312" w:eastAsia="仿宋_GB2312"/>
      <w:sz w:val="30"/>
      <w:szCs w:val="30"/>
    </w:rPr>
  </w:style>
  <w:style w:type="paragraph" w:customStyle="1" w:styleId="235">
    <w:name w:val="正文首行缩进 21"/>
    <w:basedOn w:val="210"/>
    <w:qFormat/>
    <w:uiPriority w:val="0"/>
    <w:pPr>
      <w:spacing w:line="360" w:lineRule="auto"/>
      <w:ind w:firstLine="420"/>
    </w:pPr>
    <w:rPr>
      <w:rFonts w:ascii="宋体" w:hAnsi="宋体" w:eastAsia="宋体"/>
      <w:sz w:val="21"/>
      <w:szCs w:val="20"/>
    </w:rPr>
  </w:style>
  <w:style w:type="table" w:customStyle="1" w:styleId="236">
    <w:name w:val="网格型1"/>
    <w:basedOn w:val="201"/>
    <w:qFormat/>
    <w:uiPriority w:val="0"/>
    <w:pPr>
      <w:widowControl w:val="0"/>
      <w:jc w:val="both"/>
    </w:pPr>
    <w:tblPr>
      <w:tblCellMar>
        <w:top w:w="0" w:type="dxa"/>
        <w:left w:w="0" w:type="dxa"/>
        <w:bottom w:w="0" w:type="dxa"/>
        <w:right w:w="0" w:type="dxa"/>
      </w:tblCellMar>
    </w:tblPr>
  </w:style>
  <w:style w:type="character" w:customStyle="1" w:styleId="237">
    <w:name w:val="要点1"/>
    <w:qFormat/>
    <w:uiPriority w:val="0"/>
    <w:rPr>
      <w:b/>
      <w:bCs/>
    </w:rPr>
  </w:style>
  <w:style w:type="character" w:customStyle="1" w:styleId="238">
    <w:name w:val="页码1"/>
    <w:qFormat/>
    <w:uiPriority w:val="0"/>
  </w:style>
  <w:style w:type="character" w:customStyle="1" w:styleId="239">
    <w:name w:val="访问过的超链接1"/>
    <w:qFormat/>
    <w:uiPriority w:val="0"/>
    <w:rPr>
      <w:color w:val="800080"/>
      <w:u w:val="single"/>
    </w:rPr>
  </w:style>
  <w:style w:type="character" w:customStyle="1" w:styleId="240">
    <w:name w:val="超链接1"/>
    <w:qFormat/>
    <w:uiPriority w:val="0"/>
    <w:rPr>
      <w:color w:val="0000FF"/>
      <w:u w:val="single"/>
    </w:rPr>
  </w:style>
  <w:style w:type="character" w:customStyle="1" w:styleId="241">
    <w:name w:val="批注引用1"/>
    <w:semiHidden/>
    <w:qFormat/>
    <w:uiPriority w:val="0"/>
    <w:rPr>
      <w:sz w:val="21"/>
      <w:szCs w:val="21"/>
    </w:rPr>
  </w:style>
  <w:style w:type="paragraph" w:customStyle="1" w:styleId="242">
    <w:name w:val="列出段落1"/>
    <w:basedOn w:val="1"/>
    <w:qFormat/>
    <w:uiPriority w:val="0"/>
    <w:pPr>
      <w:widowControl/>
      <w:ind w:left="720"/>
      <w:contextualSpacing/>
      <w:jc w:val="left"/>
    </w:pPr>
    <w:rPr>
      <w:rFonts w:ascii="Calibri" w:hAnsi="Calibri"/>
      <w:sz w:val="24"/>
      <w:szCs w:val="24"/>
      <w:lang w:eastAsia="en-US" w:bidi="en-US"/>
    </w:rPr>
  </w:style>
  <w:style w:type="character" w:customStyle="1" w:styleId="243">
    <w:name w:val="font5 Char"/>
    <w:qFormat/>
    <w:uiPriority w:val="0"/>
    <w:rPr>
      <w:rFonts w:ascii="宋体" w:hAnsi="宋体" w:eastAsia="宋体"/>
      <w:sz w:val="28"/>
      <w:szCs w:val="28"/>
      <w:lang w:val="en-US" w:eastAsia="zh-CN" w:bidi="ar-SA"/>
    </w:rPr>
  </w:style>
  <w:style w:type="character" w:customStyle="1" w:styleId="244">
    <w:name w:val="二级目录 Char"/>
    <w:link w:val="245"/>
    <w:qFormat/>
    <w:uiPriority w:val="0"/>
    <w:rPr>
      <w:b/>
      <w:sz w:val="30"/>
      <w:szCs w:val="28"/>
      <w:lang w:val="en-US" w:eastAsia="zh-CN" w:bidi="ar-SA"/>
    </w:rPr>
  </w:style>
  <w:style w:type="paragraph" w:customStyle="1" w:styleId="245">
    <w:name w:val="二级目录"/>
    <w:next w:val="1"/>
    <w:link w:val="244"/>
    <w:qFormat/>
    <w:uiPriority w:val="0"/>
    <w:pPr>
      <w:numPr>
        <w:ilvl w:val="0"/>
        <w:numId w:val="2"/>
      </w:numPr>
      <w:tabs>
        <w:tab w:val="left" w:pos="1145"/>
      </w:tabs>
      <w:outlineLvl w:val="1"/>
    </w:pPr>
    <w:rPr>
      <w:rFonts w:ascii="Times New Roman" w:hAnsi="Times New Roman" w:eastAsia="宋体" w:cs="Times New Roman"/>
      <w:b/>
      <w:sz w:val="30"/>
      <w:szCs w:val="28"/>
      <w:lang w:val="en-US" w:eastAsia="zh-CN" w:bidi="ar-SA"/>
    </w:rPr>
  </w:style>
  <w:style w:type="character" w:customStyle="1" w:styleId="246">
    <w:name w:val="列出段落 Char"/>
    <w:link w:val="247"/>
    <w:qFormat/>
    <w:uiPriority w:val="0"/>
    <w:rPr>
      <w:rFonts w:ascii="Calibri" w:hAnsi="Calibri"/>
      <w:sz w:val="24"/>
      <w:szCs w:val="24"/>
      <w:lang w:eastAsia="en-US" w:bidi="en-US"/>
    </w:rPr>
  </w:style>
  <w:style w:type="paragraph" w:customStyle="1" w:styleId="247">
    <w:name w:val="列出段落11"/>
    <w:basedOn w:val="1"/>
    <w:link w:val="246"/>
    <w:qFormat/>
    <w:uiPriority w:val="0"/>
    <w:pPr>
      <w:widowControl/>
      <w:ind w:left="720"/>
      <w:contextualSpacing/>
      <w:jc w:val="left"/>
    </w:pPr>
    <w:rPr>
      <w:rFonts w:ascii="Calibri" w:hAnsi="Calibri"/>
      <w:sz w:val="24"/>
      <w:szCs w:val="24"/>
      <w:lang w:eastAsia="en-US" w:bidi="en-US"/>
    </w:rPr>
  </w:style>
  <w:style w:type="paragraph" w:customStyle="1" w:styleId="248">
    <w:name w:val="Body Text(ch)"/>
    <w:basedOn w:val="1"/>
    <w:next w:val="41"/>
    <w:qFormat/>
    <w:uiPriority w:val="0"/>
    <w:pPr>
      <w:spacing w:after="120"/>
    </w:pPr>
    <w:rPr>
      <w:rFonts w:ascii="宋体" w:hAnsi="Arial"/>
      <w:bCs/>
      <w:iCs/>
      <w:szCs w:val="24"/>
    </w:rPr>
  </w:style>
  <w:style w:type="paragraph" w:customStyle="1" w:styleId="249">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50">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51">
    <w:name w:val="Char"/>
    <w:basedOn w:val="1"/>
    <w:qFormat/>
    <w:uiPriority w:val="0"/>
    <w:pPr>
      <w:tabs>
        <w:tab w:val="left" w:pos="360"/>
      </w:tabs>
      <w:ind w:firstLine="200"/>
    </w:pPr>
    <w:rPr>
      <w:sz w:val="28"/>
      <w:szCs w:val="30"/>
    </w:rPr>
  </w:style>
  <w:style w:type="paragraph" w:customStyle="1" w:styleId="252">
    <w:name w:val="Char1"/>
    <w:basedOn w:val="206"/>
    <w:qFormat/>
    <w:uiPriority w:val="0"/>
    <w:rPr>
      <w:rFonts w:ascii="Tahoma" w:hAnsi="Tahoma"/>
      <w:sz w:val="24"/>
      <w:szCs w:val="24"/>
    </w:rPr>
  </w:style>
  <w:style w:type="paragraph" w:customStyle="1" w:styleId="253">
    <w:name w:val="普通正文"/>
    <w:basedOn w:val="1"/>
    <w:qFormat/>
    <w:uiPriority w:val="0"/>
    <w:pPr>
      <w:spacing w:before="120" w:after="120" w:line="360" w:lineRule="auto"/>
      <w:ind w:firstLine="480"/>
      <w:jc w:val="left"/>
    </w:pPr>
    <w:rPr>
      <w:rFonts w:ascii="Arial" w:hAnsi="Arial"/>
      <w:sz w:val="24"/>
      <w:szCs w:val="24"/>
    </w:rPr>
  </w:style>
  <w:style w:type="paragraph" w:customStyle="1" w:styleId="254">
    <w:name w:val="table_lines"/>
    <w:basedOn w:val="1"/>
    <w:qFormat/>
    <w:uiPriority w:val="0"/>
    <w:pPr>
      <w:widowControl/>
      <w:jc w:val="left"/>
    </w:pPr>
    <w:rPr>
      <w:sz w:val="20"/>
      <w:szCs w:val="20"/>
      <w:lang w:val="de-DE" w:eastAsia="de-DE"/>
    </w:rPr>
  </w:style>
  <w:style w:type="paragraph" w:customStyle="1" w:styleId="255">
    <w:name w:val="附录1"/>
    <w:qFormat/>
    <w:uiPriority w:val="0"/>
    <w:pPr>
      <w:tabs>
        <w:tab w:val="left" w:pos="907"/>
      </w:tabs>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256">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57">
    <w:name w:val="Char Char Char Char"/>
    <w:basedOn w:val="206"/>
    <w:qFormat/>
    <w:uiPriority w:val="0"/>
    <w:pPr>
      <w:spacing w:line="360" w:lineRule="auto"/>
    </w:pPr>
    <w:rPr>
      <w:rFonts w:ascii="Tahoma" w:hAnsi="Tahoma"/>
      <w:sz w:val="24"/>
      <w:szCs w:val="24"/>
    </w:rPr>
  </w:style>
  <w:style w:type="paragraph" w:customStyle="1" w:styleId="258">
    <w:name w:val="4"/>
    <w:basedOn w:val="1"/>
    <w:next w:val="226"/>
    <w:qFormat/>
    <w:uiPriority w:val="0"/>
    <w:pPr>
      <w:spacing w:line="360" w:lineRule="auto"/>
      <w:ind w:firstLine="420"/>
    </w:pPr>
    <w:rPr>
      <w:color w:val="FF0000"/>
      <w:sz w:val="24"/>
      <w:szCs w:val="24"/>
    </w:rPr>
  </w:style>
  <w:style w:type="paragraph" w:customStyle="1" w:styleId="259">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60">
    <w:name w:val="Char Char Char Char Char Char Char Char Char Char"/>
    <w:basedOn w:val="1"/>
    <w:qFormat/>
    <w:uiPriority w:val="0"/>
    <w:pPr>
      <w:spacing w:line="360" w:lineRule="auto"/>
    </w:pPr>
    <w:rPr>
      <w:sz w:val="24"/>
      <w:szCs w:val="20"/>
    </w:rPr>
  </w:style>
  <w:style w:type="paragraph" w:customStyle="1" w:styleId="261">
    <w:name w:val="样式1"/>
    <w:basedOn w:val="1"/>
    <w:qFormat/>
    <w:uiPriority w:val="0"/>
    <w:pPr>
      <w:numPr>
        <w:ilvl w:val="0"/>
        <w:numId w:val="3"/>
      </w:numPr>
    </w:pPr>
    <w:rPr>
      <w:rFonts w:ascii="宋体" w:hAnsi="宋体"/>
    </w:rPr>
  </w:style>
  <w:style w:type="paragraph" w:customStyle="1" w:styleId="262">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63">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64">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65">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66">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67">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68">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69">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70">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71">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72">
    <w:name w:val="Char Char Char Char1"/>
    <w:basedOn w:val="206"/>
    <w:qFormat/>
    <w:uiPriority w:val="0"/>
    <w:pPr>
      <w:spacing w:line="360" w:lineRule="auto"/>
    </w:pPr>
    <w:rPr>
      <w:rFonts w:ascii="Tahoma" w:hAnsi="Tahoma"/>
      <w:sz w:val="24"/>
      <w:szCs w:val="24"/>
    </w:rPr>
  </w:style>
  <w:style w:type="paragraph" w:customStyle="1" w:styleId="273">
    <w:name w:val="table_1stline"/>
    <w:basedOn w:val="1"/>
    <w:qFormat/>
    <w:uiPriority w:val="0"/>
    <w:pPr>
      <w:widowControl/>
      <w:spacing w:before="120"/>
      <w:jc w:val="left"/>
    </w:pPr>
    <w:rPr>
      <w:bCs/>
      <w:sz w:val="20"/>
      <w:szCs w:val="20"/>
      <w:lang w:val="de-DE" w:eastAsia="de-DE"/>
    </w:rPr>
  </w:style>
  <w:style w:type="paragraph" w:customStyle="1" w:styleId="274">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75">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76">
    <w:name w:val="修订1"/>
    <w:semiHidden/>
    <w:qFormat/>
    <w:uiPriority w:val="99"/>
    <w:rPr>
      <w:rFonts w:ascii="Times New Roman" w:hAnsi="Times New Roman" w:eastAsia="宋体" w:cs="Times New Roman"/>
      <w:sz w:val="21"/>
      <w:szCs w:val="21"/>
      <w:lang w:val="en-US" w:eastAsia="zh-CN" w:bidi="ar-SA"/>
    </w:rPr>
  </w:style>
  <w:style w:type="paragraph" w:customStyle="1" w:styleId="277">
    <w:name w:val="无间隔1"/>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278">
    <w:name w:val="项目需求正文文本"/>
    <w:basedOn w:val="1"/>
    <w:qFormat/>
    <w:uiPriority w:val="0"/>
    <w:pPr>
      <w:spacing w:line="360" w:lineRule="auto"/>
      <w:ind w:firstLine="1682"/>
    </w:pPr>
    <w:rPr>
      <w:sz w:val="24"/>
      <w:szCs w:val="20"/>
    </w:rPr>
  </w:style>
  <w:style w:type="paragraph" w:customStyle="1" w:styleId="279">
    <w:name w:val="表格字体"/>
    <w:basedOn w:val="1"/>
    <w:qFormat/>
    <w:uiPriority w:val="0"/>
    <w:pPr>
      <w:spacing w:line="360" w:lineRule="auto"/>
    </w:pPr>
  </w:style>
  <w:style w:type="paragraph" w:customStyle="1" w:styleId="280">
    <w:name w:val="H正文"/>
    <w:basedOn w:val="1"/>
    <w:qFormat/>
    <w:uiPriority w:val="0"/>
    <w:pPr>
      <w:ind w:firstLine="200"/>
    </w:pPr>
    <w:rPr>
      <w:rFonts w:ascii="宋体"/>
      <w:sz w:val="24"/>
      <w:szCs w:val="20"/>
    </w:rPr>
  </w:style>
  <w:style w:type="paragraph" w:customStyle="1" w:styleId="281">
    <w:name w:val="WPSOffice手动目录 1"/>
    <w:qFormat/>
    <w:uiPriority w:val="0"/>
    <w:rPr>
      <w:rFonts w:ascii="Times New Roman" w:hAnsi="Times New Roman" w:eastAsia="宋体" w:cs="Times New Roman"/>
      <w:lang w:val="en-US" w:eastAsia="zh-CN" w:bidi="ar-SA"/>
    </w:rPr>
  </w:style>
  <w:style w:type="paragraph" w:customStyle="1" w:styleId="282">
    <w:name w:val="WPSOffice手动目录 2"/>
    <w:qFormat/>
    <w:uiPriority w:val="0"/>
    <w:pPr>
      <w:ind w:left="200"/>
    </w:pPr>
    <w:rPr>
      <w:rFonts w:ascii="Times New Roman" w:hAnsi="Times New Roman" w:eastAsia="宋体" w:cs="Times New Roman"/>
      <w:lang w:val="en-US" w:eastAsia="zh-CN" w:bidi="ar-SA"/>
    </w:rPr>
  </w:style>
  <w:style w:type="paragraph" w:customStyle="1" w:styleId="283">
    <w:name w:val="首行缩进"/>
    <w:basedOn w:val="1"/>
    <w:next w:val="1"/>
    <w:qFormat/>
    <w:uiPriority w:val="0"/>
    <w:pPr>
      <w:spacing w:line="360" w:lineRule="auto"/>
      <w:ind w:firstLine="420"/>
    </w:pPr>
    <w:rPr>
      <w:sz w:val="20"/>
    </w:rPr>
  </w:style>
  <w:style w:type="paragraph" w:customStyle="1" w:styleId="284">
    <w:name w:val="@正文"/>
    <w:basedOn w:val="242"/>
    <w:link w:val="285"/>
    <w:unhideWhenUsed/>
    <w:qFormat/>
    <w:uiPriority w:val="0"/>
    <w:pPr>
      <w:widowControl w:val="0"/>
      <w:spacing w:line="360" w:lineRule="auto"/>
      <w:ind w:firstLine="200"/>
    </w:pPr>
    <w:rPr>
      <w:rFonts w:hint="eastAsia" w:ascii="黑体" w:hAnsi="黑体" w:eastAsia="仿宋"/>
      <w:sz w:val="32"/>
      <w:szCs w:val="32"/>
      <w:lang w:val="en-AU"/>
    </w:rPr>
  </w:style>
  <w:style w:type="character" w:customStyle="1" w:styleId="285">
    <w:name w:val="@正文 字符"/>
    <w:link w:val="284"/>
    <w:unhideWhenUsed/>
    <w:qFormat/>
    <w:uiPriority w:val="0"/>
    <w:rPr>
      <w:rFonts w:hint="eastAsia" w:ascii="黑体" w:hAnsi="黑体" w:eastAsia="仿宋" w:cs="Times New Roman"/>
      <w:sz w:val="32"/>
      <w:szCs w:val="32"/>
      <w:lang w:val="en-AU" w:eastAsia="en-US" w:bidi="en-US"/>
    </w:rPr>
  </w:style>
  <w:style w:type="character" w:customStyle="1" w:styleId="286">
    <w:name w:val="纯文本 Char"/>
    <w:basedOn w:val="35"/>
    <w:link w:val="18"/>
    <w:unhideWhenUsed/>
    <w:qFormat/>
    <w:uiPriority w:val="0"/>
    <w:rPr>
      <w:rFonts w:hint="eastAsia" w:ascii="宋体" w:hAnsi="Courier New" w:eastAsia="宋体" w:cs="Times New Roman"/>
      <w:kern w:val="2"/>
      <w:sz w:val="22"/>
      <w:szCs w:val="22"/>
    </w:rPr>
  </w:style>
  <w:style w:type="character" w:customStyle="1" w:styleId="287">
    <w:name w:val="批注框文本 Char"/>
    <w:basedOn w:val="35"/>
    <w:link w:val="21"/>
    <w:semiHidden/>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741d2c5a-11d5-4516-bb4f-ed69079d03db</errorID>
      <errorWord>2026年06月</errorWord>
      <group>L1_Knowledge</group>
      <groupName>知识性问题</groupName>
      <ability>L2_Time</ability>
      <abilityName>日期时间</abilityName>
      <candidateList>
        <item>2026年6月</item>
      </candidateList>
      <explain>根据日常书写习惯，月份一般会省略前导零。</explain>
      <paraID>3BB850CA</paraID>
      <start>0</start>
      <end>8</end>
      <status>unmodified</status>
      <modifiedWord/>
      <trackRevisions>false</trackRevisions>
    </reviewItem>
    <reviewItem>
      <errorID>f27fccf9-025a-4089-b19b-fa8bdbda7964</errorID>
      <errorWord>2026年06月</errorWord>
      <group>L1_Knowledge</group>
      <groupName>知识性问题</groupName>
      <ability>L2_Time</ability>
      <abilityName>日期时间</abilityName>
      <candidateList>
        <item>2026年6月</item>
      </candidateList>
      <explain>根据日常书写习惯，月份一般会省略前导零。</explain>
      <paraID>4F56075D</paraID>
      <start>60</start>
      <end>68</end>
      <status>unmodified</status>
      <modifiedWord/>
      <trackRevisions>false</trackRevisions>
    </reviewItem>
    <reviewItem>
      <errorID>f5cca1a6-1ec1-4d19-9b6b-6d1287a7c81f</errorID>
      <errorWord>（</errorWord>
      <group>L1_Punc</group>
      <groupName>标点问题</groupName>
      <ability>L2_Punc_CN</ability>
      <abilityName>标点符号问题</abilityName>
      <candidateList/>
      <explain>同一形式括号套用。</explain>
      <paraID> 9BED8BC</paraID>
      <start>37</start>
      <end>38</end>
      <status>unmodified</status>
      <modifiedWord/>
      <trackRevisions>false</trackRevisions>
    </reviewItem>
    <reviewItem>
      <errorID>3571ce7a-df49-4f03-87c1-1c35f023eda0</errorID>
      <errorWord>）</errorWord>
      <group>L1_Punc</group>
      <groupName>标点问题</groupName>
      <ability>L2_Punc_CN</ability>
      <abilityName>标点符号问题</abilityName>
      <candidateList/>
      <explain>同一形式括号套用。</explain>
      <paraID> 9BED8BC</paraID>
      <start>92</start>
      <end>93</end>
      <status>unmodified</status>
      <modifiedWord/>
      <trackRevisions>false</trackRevisions>
    </reviewItem>
    <reviewItem>
      <errorID>63cfe642-3ac0-4a49-8b7b-2c58168fb949</errorID>
      <errorWord>证</errorWord>
      <group>L1_Grammar</group>
      <groupName>语法问题</groupName>
      <ability>L2_Collocation</ability>
      <abilityName>搭配不当</abilityName>
      <candidateList>
        <item>（相关证</item>
      </candidateList>
      <explain>句子中可能存在主谓、动宾、定语中心语、状语中心语、补语中心语、关联词搭配不当等问题。</explain>
      <paraID>4AD36D41</paraID>
      <start>90</start>
      <end>91</end>
      <status>unmodified</status>
      <modifiedWord/>
      <trackRevisions>false</trackRevisions>
    </reviewItem>
    <reviewItem>
      <errorID>1c122d97-df17-4340-839e-8df6e40b2e02</errorID>
      <errorWord>2026年06月</errorWord>
      <group>L1_Knowledge</group>
      <groupName>知识性问题</groupName>
      <ability>L2_Time</ability>
      <abilityName>日期时间</abilityName>
      <candidateList>
        <item>2026年6月</item>
      </candidateList>
      <explain>根据日常书写习惯，月份一般会省略前导零。</explain>
      <paraID>41C7975B</paraID>
      <start>3</start>
      <end>11</end>
      <status>unmodified</status>
      <modifiedWord/>
      <trackRevisions>false</trackRevisions>
    </reviewItem>
    <reviewItem>
      <errorID>0fda814a-5cca-494d-b172-6e45718fbd39</errorID>
      <errorWord>2026年06月</errorWord>
      <group>L1_Knowledge</group>
      <groupName>知识性问题</groupName>
      <ability>L2_Time</ability>
      <abilityName>日期时间</abilityName>
      <candidateList>
        <item>2026年6月</item>
      </candidateList>
      <explain>根据日常书写习惯，月份一般会省略前导零。</explain>
      <paraID>41C7975B</paraID>
      <start>15</start>
      <end>23</end>
      <status>unmodified</status>
      <modifiedWord/>
      <trackRevisions>false</trackRevisions>
    </reviewItem>
    <reviewItem>
      <errorID>247a8340-809a-4fc4-b0f4-cf1f0d0f5871</errorID>
      <errorWord>下午14:00</errorWord>
      <group>L1_Knowledge</group>
      <groupName>知识性问题</groupName>
      <ability>L2_Time</ability>
      <abilityName>日期时间</abilityName>
      <candidateList>
        <item>14:00</item>
      </candidateList>
      <explain>24小时制的时间，不需要强调“下午”。</explain>
      <paraID>41C7975B</paraID>
      <start>43</start>
      <end>50</end>
      <status>unmodified</status>
      <modifiedWord/>
      <trackRevisions>false</trackRevisions>
    </reviewItem>
    <reviewItem>
      <errorID>54d23334-d3f3-471e-9a22-6324ed608082</errorID>
      <errorWord>(</errorWord>
      <group>L1_Format</group>
      <groupName>格式问题</groupName>
      <ability>L2_HalfPunc_CN</ability>
      <abilityName>全半角问题</abilityName>
      <candidateList>
        <item>（</item>
      </candidateList>
      <explain>文本全半角错误。</explain>
      <paraID>178CA38E</paraID>
      <start>42</start>
      <end>43</end>
      <status>unmodified</status>
      <modifiedWord/>
      <trackRevisions>false</trackRevisions>
    </reviewItem>
    <reviewItem>
      <errorID>f2d6b6b3-e4f0-4482-af8e-4f6042d58ca9</errorID>
      <errorWord>)</errorWord>
      <group>L1_Format</group>
      <groupName>格式问题</groupName>
      <ability>L2_HalfPunc_CN</ability>
      <abilityName>全半角问题</abilityName>
      <candidateList>
        <item>）</item>
      </candidateList>
      <explain>文本全半角错误。</explain>
      <paraID>178CA38E</paraID>
      <start>57</start>
      <end>58</end>
      <status>unmodified</status>
      <modifiedWord/>
      <trackRevisions>false</trackRevisions>
    </reviewItem>
    <reviewItem>
      <errorID>3f8485a6-41d2-4765-a9d1-aad533768f0b</errorID>
      <errorWord>2026年06月</errorWord>
      <group>L1_Knowledge</group>
      <groupName>知识性问题</groupName>
      <ability>L2_Time</ability>
      <abilityName>日期时间</abilityName>
      <candidateList>
        <item>2026年6月</item>
      </candidateList>
      <explain>根据日常书写习惯，月份一般会省略前导零。</explain>
      <paraID>327A938C</paraID>
      <start>3</start>
      <end>11</end>
      <status>unmodified</status>
      <modifiedWord/>
      <trackRevisions>false</trackRevisions>
    </reviewItem>
    <reviewItem>
      <errorID>350d9559-19d9-4bdb-89ca-acae0731e557</errorID>
      <errorWord>（</errorWord>
      <group>L1_Punc</group>
      <groupName>标点问题</groupName>
      <ability>L2_Punc_CN</ability>
      <abilityName>标点符号问题</abilityName>
      <candidateList/>
      <explain>同一形式括号套用。</explain>
      <paraID>386EDC69</paraID>
      <start>70</start>
      <end>71</end>
      <status>unmodified</status>
      <modifiedWord/>
      <trackRevisions>false</trackRevisions>
    </reviewItem>
    <reviewItem>
      <errorID>d3cba880-b8a6-4193-9cfb-4ec1cc532910</errorID>
      <errorWord>）</errorWord>
      <group>L1_Punc</group>
      <groupName>标点问题</groupName>
      <ability>L2_Punc_CN</ability>
      <abilityName>标点符号问题</abilityName>
      <candidateList/>
      <explain>同一形式括号套用。</explain>
      <paraID>386EDC69</paraID>
      <start>81</start>
      <end>82</end>
      <status>unmodified</status>
      <modifiedWord/>
      <trackRevisions>false</trackRevisions>
    </reviewItem>
    <reviewItem>
      <errorID>e73ffa13-5df5-4682-9e06-0943ab314be2</errorID>
      <errorWord>，</errorWord>
      <group>L1_Word</group>
      <groupName>字词问题</groupName>
      <ability>L2_Typo</ability>
      <abilityName>字词错误</abilityName>
      <candidateList>
        <item>，在</item>
      </candidateList>
      <explain/>
      <paraID>386EDC69</paraID>
      <start>145</start>
      <end>146</end>
      <status>unmodified</status>
      <modifiedWord/>
      <trackRevisions>false</trackRevisions>
    </reviewItem>
    <reviewItem>
      <errorID>c374ebb3-3dfe-4e27-8dc2-06f886929e4f</errorID>
      <errorWord>2026年06月</errorWord>
      <group>L1_Knowledge</group>
      <groupName>知识性问题</groupName>
      <ability>L2_Time</ability>
      <abilityName>日期时间</abilityName>
      <candidateList>
        <item>2026年6月</item>
      </candidateList>
      <explain>根据日常书写习惯，月份一般会省略前导零。</explain>
      <paraID> B311A33</paraID>
      <start>5</start>
      <end>13</end>
      <status>unmodified</status>
      <modifiedWord/>
      <trackRevisions>false</trackRevisions>
    </reviewItem>
    <reviewItem>
      <errorID>d5050146-26c2-498e-ac80-cd77a5ef69ff</errorID>
      <errorWord>2026年06月</errorWord>
      <group>L1_Knowledge</group>
      <groupName>知识性问题</groupName>
      <ability>L2_Time</ability>
      <abilityName>日期时间</abilityName>
      <candidateList>
        <item>2026年6月</item>
      </candidateList>
      <explain>根据日常书写习惯，月份一般会省略前导零。</explain>
      <paraID>3B0F867E</paraID>
      <start>3</start>
      <end>11</end>
      <status>unmodified</status>
      <modifiedWord/>
      <trackRevisions>false</trackRevisions>
    </reviewItem>
    <reviewItem>
      <errorID>b210a5e6-27a2-4d5c-8252-aa273e8c3602</errorID>
      <errorWord>做无效投标</errorWord>
      <group>L1_Word</group>
      <groupName>字词问题</groupName>
      <ability>L2_Typo</ability>
      <abilityName>字词错误</abilityName>
      <candidateList>
        <item>作无效投标</item>
      </candidateList>
      <explain/>
      <paraID>156ABC98</paraID>
      <start>142</start>
      <end>147</end>
      <status>unmodified</status>
      <modifiedWord/>
      <trackRevisions>false</trackRevisions>
    </reviewItem>
    <reviewItem>
      <errorID>0f55a90b-d626-46c3-acd6-a19ceef56bb4</errorID>
      <errorWord>（</errorWord>
      <group>L1_Punc</group>
      <groupName>标点问题</groupName>
      <ability>L2_Punc_CN</ability>
      <abilityName>标点符号问题</abilityName>
      <candidateList/>
      <explain>同一形式括号套用。</explain>
      <paraID> 3DEF75F</paraID>
      <start>105</start>
      <end>106</end>
      <status>unmodified</status>
      <modifiedWord/>
      <trackRevisions>false</trackRevisions>
    </reviewItem>
    <reviewItem>
      <errorID>278159fb-da58-4117-880b-ea9496d2504a</errorID>
      <errorWord>）</errorWord>
      <group>L1_Punc</group>
      <groupName>标点问题</groupName>
      <ability>L2_Punc_CN</ability>
      <abilityName>标点符号问题</abilityName>
      <candidateList/>
      <explain>同一形式括号套用。</explain>
      <paraID> 3DEF75F</paraID>
      <start>110</start>
      <end>111</end>
      <status>unmodified</status>
      <modifiedWord/>
      <trackRevisions>false</trackRevisions>
    </reviewItem>
    <reviewItem>
      <errorID>ecdd7259-1046-4453-b9a2-dc60f9fd1d64</errorID>
      <errorWord>做无效投标</errorWord>
      <group>L1_Word</group>
      <groupName>字词问题</groupName>
      <ability>L2_Typo</ability>
      <abilityName>字词错误</abilityName>
      <candidateList>
        <item>作无效投标</item>
      </candidateList>
      <explain/>
      <paraID>6F65601D</paraID>
      <start>48</start>
      <end>53</end>
      <status>unmodified</status>
      <modifiedWord/>
      <trackRevisions>false</trackRevisions>
    </reviewItem>
    <reviewItem>
      <errorID>88cd3283-3028-4fea-a8d4-f9898c4b2442</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8837424</paraID>
      <start>14</start>
      <end>17</end>
      <status>unmodified</status>
      <modifiedWord/>
      <trackRevisions>false</trackRevisions>
    </reviewItem>
    <reviewItem>
      <errorID>8abf5a0c-5ef2-4063-a1fd-f6737c809c69</errorID>
      <errorWord>做出</errorWord>
      <group>L1_Word</group>
      <groupName>字词问题</groupName>
      <ability>L2_Typo</ability>
      <abilityName>字词错误</abilityName>
      <candidateList>
        <item>作出</item>
      </candidateList>
      <explain/>
      <paraID>2D93D7C8</paraID>
      <start>31</start>
      <end>33</end>
      <status>unmodified</status>
      <modifiedWord/>
      <trackRevisions>false</trackRevisions>
    </reviewItem>
    <reviewItem>
      <errorID>7f9adc81-0e7d-4431-aa60-d8b86391438d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32444BB2</paraID>
      <start>50</start>
      <end>51</end>
      <status>unmodified</status>
      <modifiedWord/>
      <trackRevisions>false</trackRevisions>
    </reviewItem>
    <reviewItem>
      <errorID>cd95c9e4-16dc-418f-a990-3e13876be0da</errorID>
      <errorWord>"</errorWord>
      <group>L1_Format</group>
      <groupName>格式问题</groupName>
      <ability>L2_HalfPunc_CN</ability>
      <abilityName>全半角问题</abilityName>
      <candidateList>
        <item>”</item>
      </candidateList>
      <explain>文本全半角错误。</explain>
      <paraID>32444BB2</paraID>
      <start>58</start>
      <end>59</end>
      <status>unmodified</status>
      <modifiedWord/>
      <trackRevisions>false</trackRevisions>
    </reviewItem>
    <reviewItem>
      <errorID>958b92fc-28f6-4112-b92f-3e6e140dedcf</errorID>
      <errorWord>保持通讯畅通</errorWord>
      <group>L1_Word</group>
      <groupName>字词问题</groupName>
      <ability>L2_Typo</ability>
      <abilityName>字词错误</abilityName>
      <candidateList>
        <item>保持通信畅通</item>
      </candidateList>
      <explain/>
      <paraID>29F8D11A</paraID>
      <start>18</start>
      <end>24</end>
      <status>unmodified</status>
      <modifiedWord/>
      <trackRevisions>false</trackRevisions>
    </reviewItem>
    <reviewItem>
      <errorID>520a4bd1-45dc-4d7f-a929-f27e33160b24</errorID>
      <errorWord>&lt;</errorWord>
      <group>L1_Format</group>
      <groupName>格式问题</groupName>
      <ability>L2_HalfPunc_CN</ability>
      <abilityName>全半角问题</abilityName>
      <candidateList>
        <item>〈</item>
      </candidateList>
      <explain>文本全半角错误。</explain>
      <paraID>60A3925A</paraID>
      <start>38</start>
      <end>39</end>
      <status>unmodified</status>
      <modifiedWord/>
      <trackRevisions>false</trackRevisions>
    </reviewItem>
    <reviewItem>
      <errorID>400c7256-dd8b-469e-9194-a068f78bb581</errorID>
      <errorWord>&lt;</errorWord>
      <group>L1_Format</group>
      <groupName>格式问题</groupName>
      <ability>L2_HalfPunc_CN</ability>
      <abilityName>全半角问题</abilityName>
      <candidateList>
        <item>〈</item>
      </candidateList>
      <explain>文本全半角错误。</explain>
      <paraID>622AC5C6</paraID>
      <start>38</start>
      <end>39</end>
      <status>unmodified</status>
      <modifiedWord/>
      <trackRevisions>false</trackRevisions>
    </reviewItem>
    <reviewItem>
      <errorID>16f2f179-b4d9-42b4-9f91-1acd4670dd84</errorID>
      <errorWord>&lt;</errorWord>
      <group>L1_Format</group>
      <groupName>格式问题</groupName>
      <ability>L2_HalfPunc_CN</ability>
      <abilityName>全半角问题</abilityName>
      <candidateList>
        <item>〈</item>
      </candidateList>
      <explain>文本全半角错误。</explain>
      <paraID>2C328BF4</paraID>
      <start>27</start>
      <end>28</end>
      <status>unmodified</status>
      <modifiedWord/>
      <trackRevisions>false</trackRevisions>
    </reviewItem>
    <reviewItem>
      <errorID>bd79fb5a-7925-4c97-9720-4e207ca6671a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14524DE2</paraID>
      <start>0</start>
      <end>3</end>
      <status>unmodified</status>
      <modifiedWord/>
      <trackRevisions>false</trackRevisions>
    </reviewItem>
    <reviewItem>
      <errorID>9a711fc9-cef0-4f2b-a3a5-7415f283a0a7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55C12DC8</paraID>
      <start>0</start>
      <end>3</end>
      <status>unmodified</status>
      <modifiedWord/>
      <trackRevisions>false</trackRevisions>
    </reviewItem>
    <reviewItem>
      <errorID>9930c4fa-5de6-4e2c-b20c-c31d52e52bfd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138574E9</paraID>
      <start>0</start>
      <end>3</end>
      <status>unmodified</status>
      <modifiedWord/>
      <trackRevisions>false</trackRevisions>
    </reviewItem>
    <reviewItem>
      <errorID>dba61de2-04a9-47fc-8872-c66414d7cbb2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682507BE</paraID>
      <start>0</start>
      <end>3</end>
      <status>unmodified</status>
      <modifiedWord/>
      <trackRevisions>false</trackRevisions>
    </reviewItem>
    <reviewItem>
      <errorID>cffcabc8-d8c5-4fbb-ba51-d0b5a204eecd</errorID>
      <errorWord>:</errorWord>
      <group>L1_Format</group>
      <groupName>格式问题</groupName>
      <ability>L2_HalfPunc_CN</ability>
      <abilityName>全半角问题</abilityName>
      <candidateList>
        <item>：</item>
      </candidateList>
      <explain>文本全半角错误。</explain>
      <paraID>4C4816B0</paraID>
      <start>3</start>
      <end>4</end>
      <status>unmodified</status>
      <modifiedWord/>
      <trackRevisions>false</trackRevisions>
    </reviewItem>
    <reviewItem>
      <errorID>f4b10cea-2ace-4256-a1ea-51e122c61ec6</errorID>
      <errorWord>,</errorWord>
      <group>L1_Format</group>
      <groupName>格式问题</groupName>
      <ability>L2_HalfPunc_CN</ability>
      <abilityName>全半角问题</abilityName>
      <candidateList>
        <item>，</item>
      </candidateList>
      <explain>文本全半角错误。</explain>
      <paraID>4C4816B0</paraID>
      <start>37</start>
      <end>38</end>
      <status>unmodified</status>
      <modifiedWord/>
      <trackRevisions>false</trackRevisions>
    </reviewItem>
    <reviewItem>
      <errorID>33167752-ba0b-4e7e-af9b-b83d272f2941</errorID>
      <errorWord>,</errorWord>
      <group>L1_Format</group>
      <groupName>格式问题</groupName>
      <ability>L2_HalfPunc_CN</ability>
      <abilityName>全半角问题</abilityName>
      <candidateList>
        <item>，</item>
      </candidateList>
      <explain>文本全半角错误。</explain>
      <paraID>1AE842D8</paraID>
      <start>54</start>
      <end>55</end>
      <status>unmodified</status>
      <modifiedWord/>
      <trackRevisions>false</trackRevisions>
    </reviewItem>
    <reviewItem>
      <errorID>92d19a60-d1d9-428f-90c3-82309bc70d96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585EA278</paraID>
      <start>0</start>
      <end>3</end>
      <status>unmodified</status>
      <modifiedWord/>
      <trackRevisions>false</trackRevisions>
    </reviewItem>
    <reviewItem>
      <errorID>56670f68-f668-40bd-91cf-756dc0b8c789</errorID>
      <errorWord>:</errorWord>
      <group>L1_Format</group>
      <groupName>格式问题</groupName>
      <ability>L2_HalfPunc_CN</ability>
      <abilityName>全半角问题</abilityName>
      <candidateList>
        <item>：</item>
      </candidateList>
      <explain>文本全半角错误。</explain>
      <paraID> 1541623</paraID>
      <start>3</start>
      <end>4</end>
      <status>unmodified</status>
      <modifiedWord/>
      <trackRevisions>false</trackRevisions>
    </reviewItem>
    <reviewItem>
      <errorID>7102db63-0697-497c-9880-5ec293ad4670</errorID>
      <errorWord>,</errorWord>
      <group>L1_Format</group>
      <groupName>格式问题</groupName>
      <ability>L2_HalfPunc_CN</ability>
      <abilityName>全半角问题</abilityName>
      <candidateList>
        <item>，</item>
      </candidateList>
      <explain>文本全半角错误。</explain>
      <paraID> 1541623</paraID>
      <start>37</start>
      <end>38</end>
      <status>unmodified</status>
      <modifiedWord/>
      <trackRevisions>false</trackRevisions>
    </reviewItem>
    <reviewItem>
      <errorID>eb42af05-34d4-423e-ba01-feb1502ebf86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76D6AA12</paraID>
      <start>0</start>
      <end>3</end>
      <status>unmodified</status>
      <modifiedWord/>
      <trackRevisions>false</trackRevisions>
    </reviewItem>
    <reviewItem>
      <errorID>f94d0864-4173-4eeb-9f85-48c7c4cc691e</errorID>
      <errorWord>法律、法规</errorWord>
      <group>L1_Word</group>
      <groupName>字词问题</groupName>
      <ability>L2_Typo</ability>
      <abilityName>字词错误</abilityName>
      <candidateList>
        <item>法律法规</item>
      </candidateList>
      <explain/>
      <paraID>3F562715</paraID>
      <start>14</start>
      <end>19</end>
      <status>unmodified</status>
      <modifiedWord/>
      <trackRevisions>false</trackRevisions>
    </reviewItem>
    <reviewItem>
      <errorID>8d35c270-d0ea-43cf-853d-e8276e524074</errorID>
      <errorWord>(</errorWord>
      <group>L1_Format</group>
      <groupName>格式问题</groupName>
      <ability>L2_HalfPunc_CN</ability>
      <abilityName>全半角问题</abilityName>
      <candidateList>
        <item>（</item>
      </candidateList>
      <explain>文本全半角错误。</explain>
      <paraID>232E1ABF</paraID>
      <start>44</start>
      <end>45</end>
      <status>unmodified</status>
      <modifiedWord/>
      <trackRevisions>false</trackRevisions>
    </reviewItem>
    <reviewItem>
      <errorID>ef6c9403-6fdb-4031-b20b-36d87b642a2b</errorID>
      <errorWord>)</errorWord>
      <group>L1_Format</group>
      <groupName>格式问题</groupName>
      <ability>L2_HalfPunc_CN</ability>
      <abilityName>全半角问题</abilityName>
      <candidateList>
        <item>）</item>
      </candidateList>
      <explain>文本全半角错误。</explain>
      <paraID>232E1ABF</paraID>
      <start>51</start>
      <end>52</end>
      <status>unmodified</status>
      <modifiedWord/>
      <trackRevisions>false</trackRevisions>
    </reviewItem>
    <reviewItem>
      <errorID>15a4ab4f-0a59-4995-893f-567ce545c2d7</errorID>
      <errorWord>负保密义务</errorWord>
      <group>L1_Word</group>
      <groupName>字词问题</groupName>
      <ability>L2_Typo</ability>
      <abilityName>字词错误</abilityName>
      <candidateList>
        <item>负有保密义务</item>
      </candidateList>
      <explain/>
      <paraID>1E8ABB54</paraID>
      <start>73</start>
      <end>78</end>
      <status>unmodified</status>
      <modifiedWord/>
      <trackRevisions>false</trackRevisions>
    </reviewItem>
    <reviewItem>
      <errorID>0ef0db04-c71d-4fce-9cbf-1f61752e2768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2DD38D51</paraID>
      <start>0</start>
      <end>3</end>
      <status>unmodified</status>
      <modifiedWord/>
      <trackRevisions>false</trackRevisions>
    </reviewItem>
    <reviewItem>
      <errorID>ba573252-f555-4755-9e1c-a24d711dd05b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1585D9AC</paraID>
      <start>0</start>
      <end>3</end>
      <status>unmodified</status>
      <modifiedWord/>
      <trackRevisions>false</trackRevisions>
    </reviewItem>
    <reviewItem>
      <errorID>1103d598-3e9a-40a6-abc1-eb2a1f58b52e</errorID>
      <errorWord>,</errorWord>
      <group>L1_Format</group>
      <groupName>格式问题</groupName>
      <ability>L2_HalfPunc_CN</ability>
      <abilityName>全半角问题</abilityName>
      <candidateList>
        <item>，</item>
      </candidateList>
      <explain>文本全半角错误。</explain>
      <paraID>1585D9AC</paraID>
      <start>27</start>
      <end>28</end>
      <status>unmodified</status>
      <modifiedWord/>
      <trackRevisions>false</trackRevisions>
    </reviewItem>
    <reviewItem>
      <errorID>01edaef2-d12b-4737-9fd4-ea87aabdddbd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6D335ABD</paraID>
      <start>0</start>
      <end>3</end>
      <status>unmodified</status>
      <modifiedWord/>
      <trackRevisions>false</trackRevisions>
    </reviewItem>
    <reviewItem>
      <errorID>79e76c59-60f4-49ea-b433-9bc15d83fa6f</errorID>
      <errorWord>或因其它</errorWord>
      <group>L1_Word</group>
      <groupName>字词问题</groupName>
      <ability>L2_Alias</ability>
      <abilityName>也作/曾用词</abilityName>
      <candidateList>
        <item>或因其他</item>
      </candidateList>
      <explain>词汇[或因其它]为不规范表述或旧称，其规范书面表述为[或因其他]。</explain>
      <paraID>3266B7F8</paraID>
      <start>7</start>
      <end>11</end>
      <status>unmodified</status>
      <modifiedWord/>
      <trackRevisions>false</trackRevisions>
    </reviewItem>
    <reviewItem>
      <errorID>2e2a1f64-1356-446c-b285-4afc13d7fb73</errorID>
      <errorWord>日内日内</errorWord>
      <group>L1_Word</group>
      <groupName>字词问题</groupName>
      <ability>L2_Typo</ability>
      <abilityName>字词错误</abilityName>
      <candidateList>
        <item>日内</item>
      </candidateList>
      <explain/>
      <paraID>3266B7F8</paraID>
      <start>88</start>
      <end>92</end>
      <status>unmodified</status>
      <modifiedWord/>
      <trackRevisions>false</trackRevisions>
    </reviewItem>
    <reviewItem>
      <errorID>4ddd73b5-5996-4521-abc8-94d396cfee83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2E4D3170</paraID>
      <start>0</start>
      <end>3</end>
      <status>unmodified</status>
      <modifiedWord/>
      <trackRevisions>false</trackRevisions>
    </reviewItem>
    <reviewItem>
      <errorID>7b928ee9-7c67-40bb-8e1b-29b9daba2e9e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54916819</paraID>
      <start>0</start>
      <end>3</end>
      <status>unmodified</status>
      <modifiedWord/>
      <trackRevisions>false</trackRevisions>
    </reviewItem>
    <reviewItem>
      <errorID>e1b9b537-07ac-4ce7-931c-841a3b5c163d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3BBAE3A0</paraID>
      <start>0</start>
      <end>3</end>
      <status>unmodified</status>
      <modifiedWord/>
      <trackRevisions>false</trackRevisions>
    </reviewItem>
    <reviewItem>
      <errorID>15bbeed5-7f17-474a-87ad-34c0a07628d3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7913BC04</paraID>
      <start>0</start>
      <end>3</end>
      <status>unmodified</status>
      <modifiedWord/>
      <trackRevisions>false</trackRevisions>
    </reviewItem>
    <reviewItem>
      <errorID>2ecafd4f-8d3a-4d2f-9604-80836fa19930</errorID>
      <errorWord>:</errorWord>
      <group>L1_Format</group>
      <groupName>格式问题</groupName>
      <ability>L2_HalfPunc_CN</ability>
      <abilityName>全半角问题</abilityName>
      <candidateList>
        <item>：</item>
      </candidateList>
      <explain>文本全半角错误。</explain>
      <paraID>6619A9BB</paraID>
      <start>3</start>
      <end>4</end>
      <status>unmodified</status>
      <modifiedWord/>
      <trackRevisions>false</trackRevisions>
    </reviewItem>
    <reviewItem>
      <errorID>997a127c-746e-487e-805c-2695fd09cae1</errorID>
      <errorWord>,</errorWord>
      <group>L1_Format</group>
      <groupName>格式问题</groupName>
      <ability>L2_HalfPunc_CN</ability>
      <abilityName>全半角问题</abilityName>
      <candidateList>
        <item>，</item>
      </candidateList>
      <explain>文本全半角错误。</explain>
      <paraID>6619A9BB</paraID>
      <start>37</start>
      <end>38</end>
      <status>unmodified</status>
      <modifiedWord/>
      <trackRevisions>false</trackRevisions>
    </reviewItem>
    <reviewItem>
      <errorID>8214c88f-4c93-4bca-a3f8-f5f05bb124c0</errorID>
      <errorWord>,</errorWord>
      <group>L1_Format</group>
      <groupName>格式问题</groupName>
      <ability>L2_HalfPunc_CN</ability>
      <abilityName>全半角问题</abilityName>
      <candidateList>
        <item>，</item>
      </candidateList>
      <explain>文本全半角错误。</explain>
      <paraID>4CBE0E29</paraID>
      <start>54</start>
      <end>55</end>
      <status>unmodified</status>
      <modifiedWord/>
      <trackRevisions>false</trackRevisions>
    </reviewItem>
    <reviewItem>
      <errorID>cb5df0f2-c16a-48cc-add7-b2f31b96333b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A62B8AE</paraID>
      <start>0</start>
      <end>3</end>
      <status>unmodified</status>
      <modifiedWord/>
      <trackRevisions>false</trackRevisions>
    </reviewItem>
    <reviewItem>
      <errorID>90b9666e-937e-4650-a492-8c859b75b533</errorID>
      <errorWord>:</errorWord>
      <group>L1_Format</group>
      <groupName>格式问题</groupName>
      <ability>L2_HalfPunc_CN</ability>
      <abilityName>全半角问题</abilityName>
      <candidateList>
        <item>：</item>
      </candidateList>
      <explain>文本全半角错误。</explain>
      <paraID>449075B9</paraID>
      <start>3</start>
      <end>4</end>
      <status>unmodified</status>
      <modifiedWord/>
      <trackRevisions>false</trackRevisions>
    </reviewItem>
    <reviewItem>
      <errorID>bc42953f-0d57-4613-8247-d63f455ce1a5</errorID>
      <errorWord>,</errorWord>
      <group>L1_Format</group>
      <groupName>格式问题</groupName>
      <ability>L2_HalfPunc_CN</ability>
      <abilityName>全半角问题</abilityName>
      <candidateList>
        <item>，</item>
      </candidateList>
      <explain>文本全半角错误。</explain>
      <paraID>449075B9</paraID>
      <start>37</start>
      <end>38</end>
      <status>unmodified</status>
      <modifiedWord/>
      <trackRevisions>false</trackRevisions>
    </reviewItem>
    <reviewItem>
      <errorID>e13f7672-dd91-47cb-964b-d67d27dec371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66034896</paraID>
      <start>0</start>
      <end>3</end>
      <status>unmodified</status>
      <modifiedWord/>
      <trackRevisions>false</trackRevisions>
    </reviewItem>
    <reviewItem>
      <errorID>df27ed15-2253-4e2c-acad-b2f2f8f17dcf</errorID>
      <errorWord>法律、法规</errorWord>
      <group>L1_Word</group>
      <groupName>字词问题</groupName>
      <ability>L2_Typo</ability>
      <abilityName>字词错误</abilityName>
      <candidateList>
        <item>法律法规</item>
      </candidateList>
      <explain/>
      <paraID>37B42A16</paraID>
      <start>14</start>
      <end>19</end>
      <status>unmodified</status>
      <modifiedWord/>
      <trackRevisions>false</trackRevisions>
    </reviewItem>
    <reviewItem>
      <errorID>6f2ae3f3-9770-4556-843b-b6ff022a19c1</errorID>
      <errorWord>(</errorWord>
      <group>L1_Format</group>
      <groupName>格式问题</groupName>
      <ability>L2_HalfPunc_CN</ability>
      <abilityName>全半角问题</abilityName>
      <candidateList>
        <item>（</item>
      </candidateList>
      <explain>文本全半角错误。</explain>
      <paraID>25E63D89</paraID>
      <start>44</start>
      <end>45</end>
      <status>unmodified</status>
      <modifiedWord/>
      <trackRevisions>false</trackRevisions>
    </reviewItem>
    <reviewItem>
      <errorID>160141f3-6fe9-4438-9879-19d80dd9f641</errorID>
      <errorWord>)</errorWord>
      <group>L1_Format</group>
      <groupName>格式问题</groupName>
      <ability>L2_HalfPunc_CN</ability>
      <abilityName>全半角问题</abilityName>
      <candidateList>
        <item>）</item>
      </candidateList>
      <explain>文本全半角错误。</explain>
      <paraID>25E63D89</paraID>
      <start>51</start>
      <end>52</end>
      <status>unmodified</status>
      <modifiedWord/>
      <trackRevisions>false</trackRevisions>
    </reviewItem>
    <reviewItem>
      <errorID>e77ac4e4-fe58-4f5c-b3e4-f72c0e63e205</errorID>
      <errorWord>负保密义务</errorWord>
      <group>L1_Word</group>
      <groupName>字词问题</groupName>
      <ability>L2_Typo</ability>
      <abilityName>字词错误</abilityName>
      <candidateList>
        <item>负有保密义务</item>
      </candidateList>
      <explain/>
      <paraID>513FB8FD</paraID>
      <start>73</start>
      <end>78</end>
      <status>unmodified</status>
      <modifiedWord/>
      <trackRevisions>false</trackRevisions>
    </reviewItem>
    <reviewItem>
      <errorID>ab007ebd-4af3-4584-b5b9-b009a952a7f5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184E42F9</paraID>
      <start>0</start>
      <end>3</end>
      <status>unmodified</status>
      <modifiedWord/>
      <trackRevisions>false</trackRevisions>
    </reviewItem>
    <reviewItem>
      <errorID>b0a197a0-8672-4ede-893c-136eb0e2819b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A143BB9</paraID>
      <start>0</start>
      <end>3</end>
      <status>unmodified</status>
      <modifiedWord/>
      <trackRevisions>false</trackRevisions>
    </reviewItem>
    <reviewItem>
      <errorID>9f7d9d71-36c1-4ca9-9ff9-8ccd9deda39a</errorID>
      <errorWord>,</errorWord>
      <group>L1_Format</group>
      <groupName>格式问题</groupName>
      <ability>L2_HalfPunc_CN</ability>
      <abilityName>全半角问题</abilityName>
      <candidateList>
        <item>，</item>
      </candidateList>
      <explain>文本全半角错误。</explain>
      <paraID> A143BB9</paraID>
      <start>27</start>
      <end>28</end>
      <status>unmodified</status>
      <modifiedWord/>
      <trackRevisions>false</trackRevisions>
    </reviewItem>
    <reviewItem>
      <errorID>91ec488e-a6b3-426e-8f46-8386bb377317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382A3FC9</paraID>
      <start>0</start>
      <end>3</end>
      <status>unmodified</status>
      <modifiedWord/>
      <trackRevisions>false</trackRevisions>
    </reviewItem>
    <reviewItem>
      <errorID>98244b10-870a-4abf-8ca0-047a3a2ca050</errorID>
      <errorWord>或因其它</errorWord>
      <group>L1_Word</group>
      <groupName>字词问题</groupName>
      <ability>L2_Alias</ability>
      <abilityName>也作/曾用词</abilityName>
      <candidateList>
        <item>或因其他</item>
      </candidateList>
      <explain>词汇[或因其它]为不规范表述或旧称，其规范书面表述为[或因其他]。</explain>
      <paraID> 71046CF</paraID>
      <start>7</start>
      <end>11</end>
      <status>unmodified</status>
      <modifiedWord/>
      <trackRevisions>false</trackRevisions>
    </reviewItem>
    <reviewItem>
      <errorID>e45769ab-e3ed-4d10-993a-342720c798c2</errorID>
      <errorWord>日内日内</errorWord>
      <group>L1_Word</group>
      <groupName>字词问题</groupName>
      <ability>L2_Typo</ability>
      <abilityName>字词错误</abilityName>
      <candidateList>
        <item>日内</item>
      </candidateList>
      <explain/>
      <paraID> 71046CF</paraID>
      <start>88</start>
      <end>92</end>
      <status>unmodified</status>
      <modifiedWord/>
      <trackRevisions>false</trackRevisions>
    </reviewItem>
    <reviewItem>
      <errorID>b2be455e-1a7d-4d9c-8bd4-01b487cb42a3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32292216</paraID>
      <start>0</start>
      <end>2</end>
      <status>unmodified</status>
      <modifiedWord/>
      <trackRevisions>false</trackRevisions>
    </reviewItem>
    <reviewItem>
      <errorID>5d36e22f-e1b3-4018-b2df-013177004ad9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54572545</paraID>
      <start>0</start>
      <end>2</end>
      <status>unmodified</status>
      <modifiedWord/>
      <trackRevisions>false</trackRevisions>
    </reviewItem>
    <reviewItem>
      <errorID>1d792715-d8fc-43dc-b6f0-c35a8cac6fde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27A83E4B</paraID>
      <start>0</start>
      <end>2</end>
      <status>unmodified</status>
      <modifiedWord/>
      <trackRevisions>false</trackRevisions>
    </reviewItem>
    <reviewItem>
      <errorID>3fd39ca6-40da-4d69-a7e3-0a8d6d07052a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7A353898</paraID>
      <start>0</start>
      <end>2</end>
      <status>unmodified</status>
      <modifiedWord/>
      <trackRevisions>false</trackRevisions>
    </reviewItem>
    <reviewItem>
      <errorID>85c3063b-1e6a-4f6a-8a4e-9d83c24d2743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4F1C86A7</paraID>
      <start>0</start>
      <end>2</end>
      <status>unmodified</status>
      <modifiedWord/>
      <trackRevisions>false</trackRevisions>
    </reviewItem>
    <reviewItem>
      <errorID>207ec262-917e-45ef-b888-f1aa9470ddae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565E0FA3</paraID>
      <start>0</start>
      <end>2</end>
      <status>unmodified</status>
      <modifiedWord/>
      <trackRevisions>false</trackRevisions>
    </reviewItem>
    <reviewItem>
      <errorID>bd07114c-b89c-4ceb-83b7-1f7406771c3f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265F5FD1</paraID>
      <start>0</start>
      <end>2</end>
      <status>unmodified</status>
      <modifiedWord/>
      <trackRevisions>false</trackRevisions>
    </reviewItem>
    <reviewItem>
      <errorID>2bb529cd-c90c-4084-9c1d-0fa51db25e9c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2311185E</paraID>
      <start>0</start>
      <end>2</end>
      <status>unmodified</status>
      <modifiedWord/>
      <trackRevisions>false</trackRevisions>
    </reviewItem>
    <reviewItem>
      <errorID>81d5b808-d050-4c84-9f44-9c09b06731b8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2ED475BF</paraID>
      <start>0</start>
      <end>2</end>
      <status>unmodified</status>
      <modifiedWord/>
      <trackRevisions>false</trackRevisions>
    </reviewItem>
    <reviewItem>
      <errorID>2f2cbbe9-0a16-47e9-b99f-47bbd6d04279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59A16BC5</paraID>
      <start>0</start>
      <end>2</end>
      <status>unmodified</status>
      <modifiedWord/>
      <trackRevisions>false</trackRevisions>
    </reviewItem>
    <reviewItem>
      <errorID>8ef764f5-b30d-40b3-a765-884e834ce7da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1D1AA8CC</paraID>
      <start>0</start>
      <end>2</end>
      <status>unmodified</status>
      <modifiedWord/>
      <trackRevisions>false</trackRevisions>
    </reviewItem>
    <reviewItem>
      <errorID>4f75b19c-16b8-4494-8630-c1d932babd73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AF96873</paraID>
      <start>0</start>
      <end>2</end>
      <status>unmodified</status>
      <modifiedWord/>
      <trackRevisions>false</trackRevisions>
    </reviewItem>
    <reviewItem>
      <errorID>8c8ed209-b6d3-4dcb-bdd1-4cd0569b2830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7093253C</paraID>
      <start>0</start>
      <end>2</end>
      <status>unmodified</status>
      <modifiedWord/>
      <trackRevisions>false</trackRevisions>
    </reviewItem>
    <reviewItem>
      <errorID>f5b7fd2f-2c04-4caf-8337-4220bc97f324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61047808</paraID>
      <start>0</start>
      <end>2</end>
      <status>unmodified</status>
      <modifiedWord/>
      <trackRevisions>false</trackRevisions>
    </reviewItem>
    <reviewItem>
      <errorID>6e0df079-65c6-4ac7-9a01-9760fe9f84ca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36E2F3F0</paraID>
      <start>0</start>
      <end>2</end>
      <status>unmodified</status>
      <modifiedWord/>
      <trackRevisions>false</trackRevisions>
    </reviewItem>
    <reviewItem>
      <errorID>1a3aded8-7a64-4f4c-8d19-44b2a177426f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6587C14</paraID>
      <start>0</start>
      <end>2</end>
      <status>unmodified</status>
      <modifiedWord/>
      <trackRevisions>false</trackRevisions>
    </reviewItem>
    <reviewItem>
      <errorID>f533bdb4-1b43-48aa-8100-0a2cd9b4c033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107BB985</paraID>
      <start>0</start>
      <end>2</end>
      <status>unmodified</status>
      <modifiedWord/>
      <trackRevisions>false</trackRevisions>
    </reviewItem>
    <reviewItem>
      <errorID>f79a8bde-a5aa-40ba-bf36-f94db94fb2aa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794EB41B</paraID>
      <start>0</start>
      <end>2</end>
      <status>unmodified</status>
      <modifiedWord/>
      <trackRevisions>false</trackRevisions>
    </reviewItem>
    <reviewItem>
      <errorID>ddce2596-06d6-447d-8a4b-0af468320ac4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599F1B73</paraID>
      <start>0</start>
      <end>2</end>
      <status>unmodified</status>
      <modifiedWord/>
      <trackRevisions>false</trackRevisions>
    </reviewItem>
    <reviewItem>
      <errorID>10f904fa-3c83-467c-8f97-5e6214a3c394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690C2C20</paraID>
      <start>0</start>
      <end>2</end>
      <status>unmodified</status>
      <modifiedWord/>
      <trackRevisions>false</trackRevisions>
    </reviewItem>
    <reviewItem>
      <errorID>19507c95-ce5f-44de-bc5c-1d7045912a96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4CEC9534</paraID>
      <start>0</start>
      <end>2</end>
      <status>unmodified</status>
      <modifiedWord/>
      <trackRevisions>false</trackRevisions>
    </reviewItem>
    <reviewItem>
      <errorID>6d11f37a-93cf-4b97-87d4-c077c56e3766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5B80DFC9</paraID>
      <start>0</start>
      <end>2</end>
      <status>unmodified</status>
      <modifiedWord/>
      <trackRevisions>false</trackRevisions>
    </reviewItem>
    <reviewItem>
      <errorID>ccbbd421-4a9f-4522-8b90-b94caf65f219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52C59DB4</paraID>
      <start>0</start>
      <end>2</end>
      <status>unmodified</status>
      <modifiedWord/>
      <trackRevisions>false</trackRevisions>
    </reviewItem>
    <reviewItem>
      <errorID>3364247b-1d42-4e6e-8368-23b01cdc7078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2D64D71E</paraID>
      <start>0</start>
      <end>2</end>
      <status>unmodified</status>
      <modifiedWord/>
      <trackRevisions>false</trackRevisions>
    </reviewItem>
    <reviewItem>
      <errorID>2d93bee4-c311-4697-a662-c085b9dae5b0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1E0CB09B</paraID>
      <start>0</start>
      <end>2</end>
      <status>unmodified</status>
      <modifiedWord/>
      <trackRevisions>false</trackRevisions>
    </reviewItem>
    <reviewItem>
      <errorID>fff2f311-68ab-4b2b-9655-7a7e95800d10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78E986D8</paraID>
      <start>0</start>
      <end>2</end>
      <status>unmodified</status>
      <modifiedWord/>
      <trackRevisions>false</trackRevisions>
    </reviewItem>
    <reviewItem>
      <errorID>630dd4f2-9662-4de0-8cf6-15c1b9dd6e8b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1B0E86D2</paraID>
      <start>0</start>
      <end>2</end>
      <status>unmodified</status>
      <modifiedWord/>
      <trackRevisions>false</trackRevisions>
    </reviewItem>
    <reviewItem>
      <errorID>2d664fe2-39da-4952-bf48-818c1bb1ac1f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69E12000</paraID>
      <start>0</start>
      <end>2</end>
      <status>unmodified</status>
      <modifiedWord/>
      <trackRevisions>false</trackRevisions>
    </reviewItem>
    <reviewItem>
      <errorID>9229c883-7cb7-44d6-b083-84d9f3827413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1AFD48A8</paraID>
      <start>0</start>
      <end>2</end>
      <status>unmodified</status>
      <modifiedWord/>
      <trackRevisions>false</trackRevisions>
    </reviewItem>
    <reviewItem>
      <errorID>b6e8d95e-11cd-4046-a9bc-c7f774c0e0ab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173C079C</paraID>
      <start>0</start>
      <end>2</end>
      <status>unmodified</status>
      <modifiedWord/>
      <trackRevisions>false</trackRevisions>
    </reviewItem>
    <reviewItem>
      <errorID>9261687a-a910-4c45-bb88-766b63a0d352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C2C046A</paraID>
      <start>0</start>
      <end>2</end>
      <status>unmodified</status>
      <modifiedWord/>
      <trackRevisions>false</trackRevisions>
    </reviewItem>
    <reviewItem>
      <errorID>203268d7-884b-42b7-8201-1cc7a32714f7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6510274</paraID>
      <start>0</start>
      <end>2</end>
      <status>unmodified</status>
      <modifiedWord/>
      <trackRevisions>false</trackRevisions>
    </reviewItem>
    <reviewItem>
      <errorID>abf9cdf3-3e12-4de2-bff1-c6e067445dc3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A4D3528</paraID>
      <start>0</start>
      <end>2</end>
      <status>unmodified</status>
      <modifiedWord/>
      <trackRevisions>false</trackRevisions>
    </reviewItem>
    <reviewItem>
      <errorID>ca5323c2-7c69-460e-a8f6-465616302f26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49E7311E</paraID>
      <start>0</start>
      <end>2</end>
      <status>unmodified</status>
      <modifiedWord/>
      <trackRevisions>false</trackRevisions>
    </reviewItem>
    <reviewItem>
      <errorID>1292202c-78da-4431-a4ab-155694324e6d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19A94A28</paraID>
      <start>0</start>
      <end>2</end>
      <status>unmodified</status>
      <modifiedWord/>
      <trackRevisions>false</trackRevisions>
    </reviewItem>
    <reviewItem>
      <errorID>d96a7b46-ba03-40a6-bb9f-51d197a103fb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1A2FEF0A</paraID>
      <start>0</start>
      <end>2</end>
      <status>unmodified</status>
      <modifiedWord/>
      <trackRevisions>false</trackRevisions>
    </reviewItem>
    <reviewItem>
      <errorID>b3975016-3fa9-4bc7-a94d-645f90f0a08d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567C290A</paraID>
      <start>0</start>
      <end>2</end>
      <status>unmodified</status>
      <modifiedWord/>
      <trackRevisions>false</trackRevisions>
    </reviewItem>
    <reviewItem>
      <errorID>eaff1113-5be4-405d-9968-906b908273f8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4C5A07B7</paraID>
      <start>0</start>
      <end>2</end>
      <status>unmodified</status>
      <modifiedWord/>
      <trackRevisions>false</trackRevisions>
    </reviewItem>
    <reviewItem>
      <errorID>e533d0e3-3ca3-4c83-8fb5-35dee902187b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64AE70AA</paraID>
      <start>0</start>
      <end>2</end>
      <status>unmodified</status>
      <modifiedWord/>
      <trackRevisions>false</trackRevisions>
    </reviewItem>
    <reviewItem>
      <errorID>bc57f5e6-22c8-4e29-aa74-b5e628978b1a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630A4EC8</paraID>
      <start>0</start>
      <end>2</end>
      <status>unmodified</status>
      <modifiedWord/>
      <trackRevisions>false</trackRevisions>
    </reviewItem>
    <reviewItem>
      <errorID>2ec05503-753f-4215-9a8e-e395e682dec1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60AB2583</paraID>
      <start>0</start>
      <end>2</end>
      <status>unmodified</status>
      <modifiedWord/>
      <trackRevisions>false</trackRevisions>
    </reviewItem>
    <reviewItem>
      <errorID>b362c743-981b-49d6-9f8e-6228a2e6d477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2E245387</paraID>
      <start>0</start>
      <end>2</end>
      <status>unmodified</status>
      <modifiedWord/>
      <trackRevisions>false</trackRevisions>
    </reviewItem>
    <reviewItem>
      <errorID>0ca68bfe-d43b-4a8c-8a03-6ea0c5afea32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765793B5</paraID>
      <start>0</start>
      <end>2</end>
      <status>unmodified</status>
      <modifiedWord/>
      <trackRevisions>false</trackRevisions>
    </reviewItem>
    <reviewItem>
      <errorID>3f28d019-642b-444e-8898-6c275b4c1c50</errorID>
      <errorWord>人民法院诉讼解决</errorWord>
      <group>L1_Knowledge</group>
      <groupName>知识性问题</groupName>
      <ability>L2_Knowledge</ability>
      <abilityName>其他知识</abilityName>
      <candidateList>
        <item>人民法院提起诉讼</item>
      </candidateList>
      <explain/>
      <paraID>765793B5</paraID>
      <start>31</start>
      <end>39</end>
      <status>unmodified</status>
      <modifiedWord/>
      <trackRevisions>false</trackRevisions>
    </reviewItem>
    <reviewItem>
      <errorID>089f8fff-8ca1-497e-8a1b-52f2a387b544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D72CAEF</paraID>
      <start>0</start>
      <end>2</end>
      <status>unmodified</status>
      <modifiedWord/>
      <trackRevisions>false</trackRevisions>
    </reviewItem>
    <reviewItem>
      <errorID>55b8865f-6cea-432d-8567-05e11da4a983</errorID>
      <errorWord>两二个</errorWord>
      <group>L1_Word</group>
      <groupName>字词问题</groupName>
      <ability>L2_Typo</ability>
      <abilityName>字词错误</abilityName>
      <candidateList>
        <item>两个</item>
      </candidateList>
      <explain/>
      <paraID>3013803F</paraID>
      <start>3</start>
      <end>6</end>
      <status>unmodified</status>
      <modifiedWord/>
      <trackRevisions>false</trackRevisions>
    </reviewItem>
    <reviewItem>
      <errorID>95682e30-a4d0-4455-af08-9367caf91811</errorID>
      <errorWord>；；</errorWord>
      <group>L1_Punc</group>
      <groupName>标点问题</groupName>
      <ability>L2_Punc_CN</ability>
      <abilityName>标点符号问题</abilityName>
      <candidateList>
        <item>；</item>
      </candidateList>
      <explain/>
      <paraID>5BAB31E9</paraID>
      <start>148</start>
      <end>150</end>
      <status>unmodified</status>
      <modifiedWord/>
      <trackRevisions>false</trackRevisions>
    </reviewItem>
    <reviewItem>
      <errorID>8e7eced5-45f9-452e-b30a-8f31d531cae7</errorID>
      <errorWord>,</errorWord>
      <group>L1_Format</group>
      <groupName>格式问题</groupName>
      <ability>L2_HalfPunc_CN</ability>
      <abilityName>全半角问题</abilityName>
      <candidateList>
        <item>，</item>
      </candidateList>
      <explain>文本全半角错误。</explain>
      <paraID> A695A37</paraID>
      <start>27</start>
      <end>28</end>
      <status>unmodified</status>
      <modifiedWord/>
      <trackRevisions>false</trackRevisions>
    </reviewItem>
    <reviewItem>
      <errorID>fe535655-310b-402a-97bc-67c4b9b1bbe6</errorID>
      <errorWord>,</errorWord>
      <group>L1_Format</group>
      <groupName>格式问题</groupName>
      <ability>L2_HalfPunc_CN</ability>
      <abilityName>全半角问题</abilityName>
      <candidateList>
        <item>，</item>
      </candidateList>
      <explain>文本全半角错误。</explain>
      <paraID>3B8F02D9</paraID>
      <start>27</start>
      <end>28</end>
      <status>unmodified</status>
      <modifiedWord/>
      <trackRevisions>false</trackRevisions>
    </reviewItem>
    <reviewItem>
      <errorID>e2211df9-d707-4ea6-9fe3-ef2b524c8d71</errorID>
      <errorWord>&lt;</errorWord>
      <group>L1_Format</group>
      <groupName>格式问题</groupName>
      <ability>L2_HalfPunc_CN</ability>
      <abilityName>全半角问题</abilityName>
      <candidateList>
        <item>〈</item>
      </candidateList>
      <explain>文本全半角错误。</explain>
      <paraID>4B76E865</paraID>
      <start>38</start>
      <end>39</end>
      <status>unmodified</status>
      <modifiedWord/>
      <trackRevisions>false</trackRevisions>
    </reviewItem>
    <reviewItem>
      <errorID>a7e49dac-6123-44e6-ad77-32f314230298</errorID>
      <errorWord>&lt;</errorWord>
      <group>L1_Format</group>
      <groupName>格式问题</groupName>
      <ability>L2_HalfPunc_CN</ability>
      <abilityName>全半角问题</abilityName>
      <candidateList>
        <item>〈</item>
      </candidateList>
      <explain>文本全半角错误。</explain>
      <paraID>64170C23</paraID>
      <start>38</start>
      <end>39</end>
      <status>unmodified</status>
      <modifiedWord/>
      <trackRevisions>false</trackRevisions>
    </reviewItem>
    <reviewItem>
      <errorID>6ec6969c-679d-4cd7-a5e4-2465d8670af8</errorID>
      <errorWord>&lt;</errorWord>
      <group>L1_Format</group>
      <groupName>格式问题</groupName>
      <ability>L2_HalfPunc_CN</ability>
      <abilityName>全半角问题</abilityName>
      <candidateList>
        <item>〈</item>
      </candidateList>
      <explain>文本全半角错误。</explain>
      <paraID>24A5A3A4</paraID>
      <start>27</start>
      <end>28</end>
      <status>unmodified</status>
      <modifiedWord/>
      <trackRevisions>false</trackRevisions>
    </reviewItem>
    <reviewItem>
      <errorID>cb9ce5ae-5b07-42fd-b676-a0ddf8dc937a</errorID>
      <errorWord>，</errorWord>
      <group>L1_Word</group>
      <groupName>字词问题</groupName>
      <ability>L2_Typo</ability>
      <abilityName>字词错误</abilityName>
      <candidateList>
        <item>，并</item>
      </candidateList>
      <explain/>
      <paraID>6ECBDACE</paraID>
      <start>67</start>
      <end>68</end>
      <status>unmodified</status>
      <modifiedWord/>
      <trackRevisions>false</trackRevisions>
    </reviewItem>
    <reviewItem>
      <errorID>c01c3cb7-b1e0-4aac-875e-5e0d0d9764d9</errorID>
      <errorWord>(</errorWord>
      <group>L1_Format</group>
      <groupName>格式问题</groupName>
      <ability>L2_HalfPunc_CN</ability>
      <abilityName>全半角问题</abilityName>
      <candidateList>
        <item>（</item>
      </candidateList>
      <explain>文本全半角错误。</explain>
      <paraID>722CB4FD</paraID>
      <start>85</start>
      <end>86</end>
      <status>unmodified</status>
      <modifiedWord/>
      <trackRevisions>false</trackRevisions>
    </reviewItem>
    <reviewItem>
      <errorID>39d1e6ea-9ccd-4117-b030-12a8bd9593e1</errorID>
      <errorWord>)</errorWord>
      <group>L1_Format</group>
      <groupName>格式问题</groupName>
      <ability>L2_HalfPunc_CN</ability>
      <abilityName>全半角问题</abilityName>
      <candidateList>
        <item>）</item>
      </candidateList>
      <explain>文本全半角错误。</explain>
      <paraID>722CB4FD</paraID>
      <start>96</start>
      <end>97</end>
      <status>unmodified</status>
      <modifiedWord/>
      <trackRevisions>false</trackRevisions>
    </reviewItem>
    <reviewItem>
      <errorID>2556dcda-bcae-4e73-9f92-7b9be740c40a</errorID>
      <errorWord>、以及</errorWord>
      <group>L1_Punc</group>
      <groupName>标点问题</groupName>
      <ability>L2_Punc_CN</ability>
      <abilityName>标点符号问题</abilityName>
      <candidateList>
        <item>，以及</item>
      </candidateList>
      <explain>连接词前后不宜使用顿号，建议使用逗号。</explain>
      <paraID>653C0E3C</paraID>
      <start>42</start>
      <end>45</end>
      <status>unmodified</status>
      <modifiedWord/>
      <trackRevisions>false</trackRevisions>
    </reviewItem>
    <reviewItem>
      <errorID>3dec6a17-7d4b-4347-b173-173ec2a52228</errorID>
      <errorWord>非常</errorWord>
      <group>L1_Grammar</group>
      <groupName>语法问题</groupName>
      <ability>L2_Grammar</ability>
      <abilityName>语法错误</abilityName>
      <candidateList>
        <item>更加</item>
      </candidateList>
      <explain>“非常～科学”搭配不当，建议修改为“更加～科学”。</explain>
      <paraID>653C0E3C</paraID>
      <start>57</start>
      <end>59</end>
      <status>unmodified</status>
      <modifiedWord/>
      <trackRevisions>false</trackRevisions>
    </reviewItem>
    <reviewItem>
      <errorID>a53cfd55-3d98-42fd-b971-36b14f8c3655</errorID>
      <errorWord>，</errorWord>
      <group>L1_Word</group>
      <groupName>字词问题</groupName>
      <ability>L2_Typo</ability>
      <abilityName>字词错误</abilityName>
      <candidateList>
        <item>，具</item>
      </candidateList>
      <explain/>
      <paraID>653C0E3C</paraID>
      <start>64</start>
      <end>65</end>
      <status>unmodified</status>
      <modifiedWord/>
      <trackRevisions>false</trackRevisions>
    </reviewItem>
    <reviewItem>
      <errorID>b6b27b89-7861-47b1-8a1a-a2dec6b16e2e</errorID>
      <errorWord>独到之外</errorWord>
      <group>L1_Word</group>
      <groupName>字词问题</groupName>
      <ability>L2_Typo</ability>
      <abilityName>字词错误</abilityName>
      <candidateList>
        <item>独到之处</item>
      </candidateList>
      <explain>存在字形相近字词的误用。</explain>
      <paraID>653C0E3C</paraID>
      <start>73</start>
      <end>77</end>
      <status>unmodified</status>
      <modifiedWord/>
      <trackRevisions>false</trackRevisions>
    </reviewItem>
    <reviewItem>
      <errorID>e87be9d9-174a-46a7-b626-c599375c663f</errorID>
      <errorWord>、以及</errorWord>
      <group>L1_Punc</group>
      <groupName>标点问题</groupName>
      <ability>L2_Punc_CN</ability>
      <abilityName>标点符号问题</abilityName>
      <candidateList>
        <item>，以及</item>
      </candidateList>
      <explain>连接词前后不宜使用顿号，建议使用逗号。</explain>
      <paraID>4BFB131A</paraID>
      <start>42</start>
      <end>45</end>
      <status>unmodified</status>
      <modifiedWord/>
      <trackRevisions>false</trackRevisions>
    </reviewItem>
    <reviewItem>
      <errorID>bf28e548-68f5-4a5a-a99e-c6bc7ca21c1d</errorID>
      <errorWord>、以及</errorWord>
      <group>L1_Punc</group>
      <groupName>标点问题</groupName>
      <ability>L2_Punc_CN</ability>
      <abilityName>标点符号问题</abilityName>
      <candidateList>
        <item>，以及</item>
      </candidateList>
      <explain>连接词前后不宜使用顿号，建议使用逗号。</explain>
      <paraID>7A189738</paraID>
      <start>42</start>
      <end>45</end>
      <status>unmodified</status>
      <modifiedWord/>
      <trackRevisions>false</trackRevisions>
    </reviewItem>
    <reviewItem>
      <errorID>b6ac62a6-45f4-48fe-ac07-a8a178d53a1c</errorID>
      <errorWord>、以及</errorWord>
      <group>L1_Punc</group>
      <groupName>标点问题</groupName>
      <ability>L2_Punc_CN</ability>
      <abilityName>标点符号问题</abilityName>
      <candidateList>
        <item>，以及</item>
      </candidateList>
      <explain>连接词前后不宜使用顿号，建议使用逗号。</explain>
      <paraID>1C6E4A30</paraID>
      <start>27</start>
      <end>30</end>
      <status>unmodified</status>
      <modifiedWord/>
      <trackRevisions>false</trackRevisions>
    </reviewItem>
    <reviewItem>
      <errorID>61f16e0e-b6e9-4b11-a28b-8e1717aa6f7c</errorID>
      <errorWord>非常</errorWord>
      <group>L1_Grammar</group>
      <groupName>语法问题</groupName>
      <ability>L2_Grammar</ability>
      <abilityName>语法错误</abilityName>
      <candidateList>
        <item>更加</item>
      </candidateList>
      <explain>“非常～科学”搭配不当，建议修改为“更加～科学”。</explain>
      <paraID>2F41FFB0</paraID>
      <start>52</start>
      <end>54</end>
      <status>unmodified</status>
      <modifiedWord/>
      <trackRevisions>false</trackRevisions>
    </reviewItem>
    <reviewItem>
      <errorID>64e40e30-fa0a-4c17-be2c-3ebf642c1c54</errorID>
      <errorWord>独到之外</errorWord>
      <group>L1_Word</group>
      <groupName>字词问题</groupName>
      <ability>L2_Typo</ability>
      <abilityName>字词错误</abilityName>
      <candidateList>
        <item>独到之处</item>
      </candidateList>
      <explain>存在字形相近字词的误用。</explain>
      <paraID>2F41FFB0</paraID>
      <start>68</start>
      <end>72</end>
      <status>unmodified</status>
      <modifiedWord/>
      <trackRevisions>false</trackRevisions>
    </reviewItem>
    <reviewItem>
      <errorID>aa535065-aa45-474d-8045-d2ea90a4a19c</errorID>
      <errorWord>:</errorWord>
      <group>L1_Format</group>
      <groupName>格式问题</groupName>
      <ability>L2_HalfPunc_CN</ability>
      <abilityName>全半角问题</abilityName>
      <candidateList>
        <item>：</item>
      </candidateList>
      <explain>文本全半角错误。</explain>
      <paraID>6EA67FA6</paraID>
      <start>46</start>
      <end>47</end>
      <status>unmodified</status>
      <modifiedWord/>
      <trackRevisions>false</trackRevisions>
    </reviewItem>
    <reviewItem>
      <errorID>0757c5e9-f38b-4024-a7f7-d8f8f418159c</errorID>
      <errorWord>(</errorWord>
      <group>L1_Format</group>
      <groupName>格式问题</groupName>
      <ability>L2_HalfPunc_CN</ability>
      <abilityName>全半角问题</abilityName>
      <candidateList>
        <item>（</item>
      </candidateList>
      <explain>文本全半角错误。</explain>
      <paraID>7C2DA4AB</paraID>
      <start>85</start>
      <end>86</end>
      <status>unmodified</status>
      <modifiedWord/>
      <trackRevisions>false</trackRevisions>
    </reviewItem>
    <reviewItem>
      <errorID>2868a2a1-55e6-4e9f-8957-5479ba5b9009</errorID>
      <errorWord>)</errorWord>
      <group>L1_Format</group>
      <groupName>格式问题</groupName>
      <ability>L2_HalfPunc_CN</ability>
      <abilityName>全半角问题</abilityName>
      <candidateList>
        <item>）</item>
      </candidateList>
      <explain>文本全半角错误。</explain>
      <paraID>7C2DA4AB</paraID>
      <start>96</start>
      <end>97</end>
      <status>unmodified</status>
      <modifiedWord/>
      <trackRevisions>false</trackRevisions>
    </reviewItem>
    <reviewItem>
      <errorID>82b81cef-aa27-4c9d-a112-7378cb7a0574</errorID>
      <errorWord>质量管控体系</errorWord>
      <group>L1_Political</group>
      <groupName>政治性问题</groupName>
      <ability>L2_Keyword</ability>
      <abilityName>固定表述</abilityName>
      <candidateList>
        <item>质量管理体系</item>
      </candidateList>
      <explain>词汇“质量管理体系”在特定场景下为固定表述形式，请确认此处的“质量管控体系”是否存在不当。</explain>
      <paraID> 9E8C3ED</paraID>
      <start>3</start>
      <end>9</end>
      <status>unmodified</status>
      <modifiedWord/>
      <trackRevisions>false</trackRevisions>
    </reviewItem>
    <reviewItem>
      <errorID>1baa67ef-fe32-4828-927a-85bc71c4f536</errorID>
      <errorWord>（</errorWord>
      <group>L1_Punc</group>
      <groupName>标点问题</groupName>
      <ability>L2_Punc_CN</ability>
      <abilityName>标点符号问题</abilityName>
      <candidateList/>
      <explain>同一形式括号套用。</explain>
      <paraID>4DF94B81</paraID>
      <start>25</start>
      <end>26</end>
      <status>unmodified</status>
      <modifiedWord/>
      <trackRevisions>false</trackRevisions>
    </reviewItem>
    <reviewItem>
      <errorID>9121b850-5780-4fa5-9196-0ceae52b12ee</errorID>
      <errorWord>）</errorWord>
      <group>L1_Punc</group>
      <groupName>标点问题</groupName>
      <ability>L2_Punc_CN</ability>
      <abilityName>标点符号问题</abilityName>
      <candidateList/>
      <explain>同一形式括号套用。</explain>
      <paraID>4DF94B81</paraID>
      <start>31</start>
      <end>32</end>
      <status>unmodified</status>
      <modifiedWord/>
      <trackRevisions>false</trackRevisions>
    </reviewItem>
    <reviewItem>
      <errorID>4309dd10-b18d-46f3-a121-19ad77c82970</errorID>
      <errorWord>（</errorWord>
      <group>L1_Punc</group>
      <groupName>标点问题</groupName>
      <ability>L2_Punc_CN</ability>
      <abilityName>标点符号问题</abilityName>
      <candidateList/>
      <explain>同一形式括号套用。</explain>
      <paraID>6452E45D</paraID>
      <start>35</start>
      <end>36</end>
      <status>unmodified</status>
      <modifiedWord/>
      <trackRevisions>false</trackRevisions>
    </reviewItem>
    <reviewItem>
      <errorID>107e3fb0-8482-4921-973e-8d0fad4051a8</errorID>
      <errorWord>）</errorWord>
      <group>L1_Punc</group>
      <groupName>标点问题</groupName>
      <ability>L2_Punc_CN</ability>
      <abilityName>标点符号问题</abilityName>
      <candidateList/>
      <explain>同一形式括号套用。</explain>
      <paraID>6452E45D</paraID>
      <start>90</start>
      <end>91</end>
      <status>unmodified</status>
      <modifiedWord/>
      <trackRevisions>false</trackRevisions>
    </reviewItem>
    <reviewItem>
      <errorID>49ee6a97-717b-4446-a430-b0c3e3011184</errorID>
      <errorWord>-</errorWord>
      <group>L1_Format</group>
      <groupName>格式问题</groupName>
      <ability>L2_HalfPunc_CN</ability>
      <abilityName>全半角问题</abilityName>
      <candidateList>
        <item>－</item>
      </candidateList>
      <explain>文本全半角错误。</explain>
      <paraID>5789C931</paraID>
      <start>10</start>
      <end>11</end>
      <status>unmodified</status>
      <modifiedWord/>
      <trackRevisions>false</trackRevisions>
    </reviewItem>
    <reviewItem>
      <errorID>7642052b-c5eb-4d56-b9d1-0a9ce8c5bfe7</errorID>
      <errorWord>（</errorWord>
      <group>L1_Punc</group>
      <groupName>标点问题</groupName>
      <ability>L2_Punc_CN</ability>
      <abilityName>标点符号问题</abilityName>
      <candidateList/>
      <explain>同一形式括号套用。</explain>
      <paraID>30E48FFD</paraID>
      <start>35</start>
      <end>36</end>
      <status>unmodified</status>
      <modifiedWord/>
      <trackRevisions>false</trackRevisions>
    </reviewItem>
    <reviewItem>
      <errorID>5a6f81ba-9c87-4060-91e2-6a4ba3376f15</errorID>
      <errorWord>）</errorWord>
      <group>L1_Punc</group>
      <groupName>标点问题</groupName>
      <ability>L2_Punc_CN</ability>
      <abilityName>标点符号问题</abilityName>
      <candidateList/>
      <explain>同一形式括号套用。</explain>
      <paraID>30E48FFD</paraID>
      <start>90</start>
      <end>91</end>
      <status>unmodified</status>
      <modifiedWord/>
      <trackRevisions>false</trackRevisions>
    </reviewItem>
    <reviewItem>
      <errorID>8110eda0-e288-40be-beb8-292165cc9a6f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110A8B8B</paraID>
      <start>163</start>
      <end>164</end>
      <status>unmodified</status>
      <modifiedWord/>
      <trackRevisions>false</trackRevisions>
    </reviewItem>
    <reviewItem>
      <errorID>3e447dea-2d64-471f-9b21-a46227467e32</errorID>
      <errorWord>"</errorWord>
      <group>L1_Format</group>
      <groupName>格式问题</groupName>
      <ability>L2_HalfPunc_CN</ability>
      <abilityName>全半角问题</abilityName>
      <candidateList>
        <item>”</item>
      </candidateList>
      <explain>文本全半角错误。</explain>
      <paraID>110A8B8B</paraID>
      <start>171</start>
      <end>172</end>
      <status>unmodified</status>
      <modifiedWord/>
      <trackRevisions>false</trackRevisions>
    </reviewItem>
    <reviewItem>
      <errorID>78341213-1011-453f-8e02-05737eddd598</errorID>
      <errorWord>间</errorWord>
      <group>L1_Word</group>
      <groupName>字词问题</groupName>
      <ability>L2_Typo</ability>
      <abilityName>字词错误</abilityName>
      <candidateList>
        <item>间内</item>
      </candidateList>
      <explain/>
      <paraID>4CE41E3D</paraID>
      <start>47</start>
      <end>48</end>
      <status>unmodified</status>
      <modifiedWord/>
      <trackRevisions>false</trackRevisions>
    </reviewItem>
    <reviewItem>
      <errorID>2c3dbce5-c03f-4b42-8233-844f05b09f6f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54FD5508</paraID>
      <start>0</start>
      <end>2</end>
      <status>unmodified</status>
      <modifiedWord/>
      <trackRevisions>false</trackRevisions>
    </reviewItem>
    <reviewItem>
      <errorID>4cf8b0ec-0eeb-4b0f-9e8c-39f32e1daba5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2955F24A</paraID>
      <start>0</start>
      <end>2</end>
      <status>unmodified</status>
      <modifiedWord/>
      <trackRevisions>false</trackRevisions>
    </reviewItem>
    <reviewItem>
      <errorID>2f4d9ec6-3d9a-41f9-8c85-de457632c736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1CC73397</paraID>
      <start>0</start>
      <end>2</end>
      <status>unmodified</status>
      <modifiedWord/>
      <trackRevisions>false</trackRevisions>
    </reviewItem>
    <reviewItem>
      <errorID>aa2335a6-eb49-4307-808a-0ed7852f692b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4AF1B911</paraID>
      <start>0</start>
      <end>2</end>
      <status>unmodified</status>
      <modifiedWord/>
      <trackRevisions>false</trackRevisions>
    </reviewItem>
    <reviewItem>
      <errorID>c84e7a3e-ff7e-46e2-8001-d3431d21b459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49CA7852</paraID>
      <start>0</start>
      <end>2</end>
      <status>unmodified</status>
      <modifiedWord/>
      <trackRevisions>false</trackRevisions>
    </reviewItem>
    <reviewItem>
      <errorID>fc995038-cfe2-46ad-92a4-cece8b87e31f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43C9F2D3</paraID>
      <start>0</start>
      <end>2</end>
      <status>unmodified</status>
      <modifiedWord/>
      <trackRevisions>false</trackRevisions>
    </reviewItem>
    <reviewItem>
      <errorID>91e022d8-1a2b-4147-a94e-7b0f7356d010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6FB97C06</paraID>
      <start>0</start>
      <end>2</end>
      <status>unmodified</status>
      <modifiedWord/>
      <trackRevisions>false</trackRevisions>
    </reviewItem>
    <reviewItem>
      <errorID>8b26924b-1645-4f82-9cf5-df9701fd8024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2CDCDD0B</paraID>
      <start>0</start>
      <end>2</end>
      <status>unmodified</status>
      <modifiedWord/>
      <trackRevisions>false</trackRevisions>
    </reviewItem>
    <reviewItem>
      <errorID>9e720908-2b1b-4fe3-bfc8-3ab27c722d2b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607BC862</paraID>
      <start>0</start>
      <end>2</end>
      <status>unmodified</status>
      <modifiedWord/>
      <trackRevisions>false</trackRevisions>
    </reviewItem>
    <reviewItem>
      <errorID>7c990a19-bc8b-4b23-b303-67eabba13390</errorID>
      <errorWord>禁</errorWord>
      <group>L1_Word</group>
      <groupName>字词问题</groupName>
      <ability>L2_Typo</ability>
      <abilityName>字词错误</abilityName>
      <candidateList>
        <item>禁以</item>
      </candidateList>
      <explain/>
      <paraID>1DD27573</paraID>
      <start>86</start>
      <end>87</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9548975-11f5-4207-9f84-c23ddadb5ece}">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60</Pages>
  <Words>24721</Words>
  <Characters>26512</Characters>
  <Lines>241</Lines>
  <Paragraphs>68</Paragraphs>
  <TotalTime>49</TotalTime>
  <ScaleCrop>false</ScaleCrop>
  <LinksUpToDate>false</LinksUpToDate>
  <CharactersWithSpaces>29161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2025-04-24T01:03:00Z</dcterms:created>
  <dc:creator>倪斌</dc:creator>
  <cp:lastModifiedBy>倪斌</cp:lastModifiedBy>
  <cp:lastPrinted>2025-09-30T03:47:00Z</cp:lastPrinted>
  <dcterms:modified xsi:type="dcterms:W3CDTF">2026-07-17T03:06:34Z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eyJoZGlkIjoiMWFmMTljN2VjMDQxNDYyMjJlZjlkYzhmNTIwYTU0ZjMiLCJ1c2VySWQiOiIzMDcxNjQ1OTAifQ==</vt:lpwstr>
  </property>
  <property fmtid="{D5CDD505-2E9C-101B-9397-08002B2CF9AE}" pid="3" name="KSOProductBuildVer">
    <vt:lpwstr>2052-12.1.0.26895</vt:lpwstr>
  </property>
  <property fmtid="{D5CDD505-2E9C-101B-9397-08002B2CF9AE}" pid="4" name="ICV">
    <vt:lpwstr>F0CD6277A2BB415BA5510572E85A5203_13</vt:lpwstr>
  </property>
</Properties>
</file>